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left" w:pos="5956"/>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eastAsia="宋体" w:cs="Arial"/>
          <w:b/>
          <w:color w:val="auto"/>
          <w:sz w:val="24"/>
          <w:szCs w:val="24"/>
          <w:lang w:val="en-US" w:eastAsia="zh-CN"/>
        </w:rPr>
      </w:pPr>
      <w:bookmarkStart w:id="0" w:name="DocumentFor"/>
      <w:bookmarkEnd w:id="0"/>
      <w:bookmarkStart w:id="1" w:name="Title"/>
      <w:bookmarkEnd w:id="1"/>
      <w:bookmarkStart w:id="2" w:name="OLE_LINK27"/>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108</w:t>
      </w:r>
      <w:r>
        <w:rPr>
          <w:rFonts w:hint="eastAsia" w:eastAsia="宋体" w:cs="Arial"/>
          <w:b/>
          <w:color w:val="auto"/>
          <w:sz w:val="24"/>
          <w:szCs w:val="24"/>
          <w:lang w:val="en-US" w:eastAsia="zh-CN"/>
        </w:rPr>
        <w:t xml:space="preserve">                              </w:t>
      </w:r>
      <w:bookmarkStart w:id="39" w:name="_GoBack"/>
      <w:bookmarkEnd w:id="39"/>
      <w:r>
        <w:rPr>
          <w:rFonts w:hint="eastAsia" w:ascii="Arial" w:hAnsi="Arial" w:cs="Arial"/>
          <w:b/>
          <w:color w:val="auto"/>
          <w:sz w:val="24"/>
          <w:szCs w:val="24"/>
        </w:rPr>
        <w:t>R4-231246</w:t>
      </w:r>
      <w:r>
        <w:rPr>
          <w:rFonts w:hint="eastAsia" w:ascii="Arial" w:hAnsi="Arial" w:cs="Arial"/>
          <w:b/>
          <w:color w:val="auto"/>
          <w:sz w:val="24"/>
          <w:szCs w:val="24"/>
          <w:lang w:val="en-US" w:eastAsia="zh-CN"/>
        </w:rPr>
        <w:t>2</w:t>
      </w:r>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eastAsiaTheme="minorEastAsia"/>
          <w:b/>
          <w:bCs/>
          <w:color w:val="auto"/>
          <w:sz w:val="24"/>
          <w:szCs w:val="24"/>
          <w:lang w:eastAsia="zh-CN"/>
        </w:rPr>
      </w:pPr>
      <w:r>
        <w:rPr>
          <w:rFonts w:ascii="Arial" w:hAnsi="Arial" w:eastAsia="宋体" w:cs="Arial"/>
          <w:b/>
          <w:color w:val="auto"/>
          <w:sz w:val="24"/>
          <w:szCs w:val="24"/>
          <w:lang w:eastAsia="zh-CN"/>
        </w:rPr>
        <w:t>Toulouse, France, August 21 – August 25, 2023</w:t>
      </w:r>
    </w:p>
    <w:bookmarkEnd w:id="2"/>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bookmarkStart w:id="3" w:name="OLE_LINK12"/>
      <w:r>
        <w:rPr>
          <w:rFonts w:hint="eastAsia" w:ascii="Arial" w:hAnsi="Arial"/>
          <w:b/>
          <w:color w:val="auto"/>
          <w:sz w:val="24"/>
          <w:highlight w:val="none"/>
          <w:lang w:val="en-US" w:eastAsia="zh-CN"/>
        </w:rPr>
        <w:t xml:space="preserve">Requirements for </w:t>
      </w:r>
      <w:r>
        <w:rPr>
          <w:rStyle w:val="60"/>
          <w:rFonts w:hint="eastAsia"/>
          <w:b/>
          <w:color w:val="auto"/>
          <w:highlight w:val="none"/>
          <w:lang w:val="en-US" w:eastAsia="zh-CN"/>
        </w:rPr>
        <w:t>4Rx low band (&lt;1GHz) for handheld UE</w:t>
      </w:r>
    </w:p>
    <w:bookmarkEnd w:id="3"/>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7.29.2</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 xml:space="preserve">In RAN #100 meeting, the WID for low NR band enhancement was revised and approved[1], where </w:t>
      </w:r>
      <w:r>
        <w:rPr>
          <w:rFonts w:hint="default"/>
          <w:bCs/>
          <w:color w:val="auto"/>
          <w:kern w:val="0"/>
          <w:sz w:val="20"/>
          <w:szCs w:val="20"/>
          <w:highlight w:val="none"/>
          <w:lang w:val="en-US" w:eastAsia="zh-CN"/>
        </w:rPr>
        <w:t>‘</w:t>
      </w:r>
      <w:r>
        <w:rPr>
          <w:rFonts w:hint="eastAsia"/>
          <w:bCs/>
          <w:color w:val="auto"/>
          <w:kern w:val="0"/>
          <w:sz w:val="20"/>
          <w:szCs w:val="20"/>
          <w:highlight w:val="none"/>
          <w:lang w:val="en-US" w:eastAsia="zh-CN"/>
        </w:rPr>
        <w:t>study if feasible</w:t>
      </w:r>
      <w:r>
        <w:rPr>
          <w:rFonts w:hint="default"/>
          <w:bCs/>
          <w:color w:val="auto"/>
          <w:kern w:val="0"/>
          <w:sz w:val="20"/>
          <w:szCs w:val="20"/>
          <w:highlight w:val="none"/>
          <w:lang w:val="en-US" w:eastAsia="zh-CN"/>
        </w:rPr>
        <w:t>’</w:t>
      </w:r>
      <w:r>
        <w:rPr>
          <w:rFonts w:hint="eastAsia"/>
          <w:bCs/>
          <w:color w:val="auto"/>
          <w:kern w:val="0"/>
          <w:sz w:val="20"/>
          <w:szCs w:val="20"/>
          <w:highlight w:val="none"/>
          <w:lang w:val="en-US" w:eastAsia="zh-CN"/>
        </w:rPr>
        <w:t xml:space="preserve"> is removed: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CellMar>
            <w:top w:w="0" w:type="dxa"/>
            <w:left w:w="108" w:type="dxa"/>
            <w:bottom w:w="0" w:type="dxa"/>
            <w:right w:w="108" w:type="dxa"/>
          </w:tblCellMar>
        </w:tblPrEx>
        <w:tc>
          <w:tcPr>
            <w:tcW w:w="9876" w:type="dxa"/>
          </w:tcPr>
          <w:p>
            <w:pPr>
              <w:keepNext/>
              <w:keepLines/>
              <w:pageBreakBefore w:val="0"/>
              <w:widowControl/>
              <w:numPr>
                <w:ilvl w:val="0"/>
                <w:numId w:val="7"/>
              </w:numPr>
              <w:kinsoku/>
              <w:wordWrap/>
              <w:overflowPunct/>
              <w:topLinePunct w:val="0"/>
              <w:autoSpaceDE/>
              <w:autoSpaceDN/>
              <w:bidi w:val="0"/>
              <w:adjustRightInd/>
              <w:snapToGrid/>
              <w:spacing w:after="180" w:line="260" w:lineRule="auto"/>
              <w:ind w:hanging="420"/>
              <w:textAlignment w:val="auto"/>
              <w:rPr>
                <w:b/>
                <w:sz w:val="20"/>
                <w:szCs w:val="20"/>
              </w:rPr>
            </w:pPr>
            <w:r>
              <w:rPr>
                <w:b/>
                <w:sz w:val="20"/>
                <w:szCs w:val="20"/>
              </w:rPr>
              <w:t>Enhancements for 4R</w:t>
            </w:r>
            <w:r>
              <w:rPr>
                <w:rFonts w:hint="eastAsia"/>
                <w:b/>
                <w:sz w:val="20"/>
                <w:szCs w:val="20"/>
                <w:lang w:eastAsia="zh-CN"/>
              </w:rPr>
              <w:t>x</w:t>
            </w:r>
            <w:r>
              <w:rPr>
                <w:b/>
                <w:sz w:val="20"/>
                <w:szCs w:val="20"/>
              </w:rPr>
              <w:t xml:space="preserve"> at low frequency band </w:t>
            </w:r>
            <w:r>
              <w:rPr>
                <w:rFonts w:hint="eastAsia"/>
                <w:b/>
                <w:sz w:val="20"/>
                <w:szCs w:val="20"/>
                <w:lang w:eastAsia="zh-CN"/>
              </w:rPr>
              <w:t>(</w:t>
            </w:r>
            <w:r>
              <w:rPr>
                <w:b/>
                <w:sz w:val="20"/>
                <w:szCs w:val="20"/>
                <w:lang w:eastAsia="zh-CN"/>
              </w:rPr>
              <w:t>&lt;1GHz)</w:t>
            </w:r>
          </w:p>
          <w:p>
            <w:pPr>
              <w:keepNext/>
              <w:keepLines/>
              <w:pageBreakBefore w:val="0"/>
              <w:widowControl/>
              <w:numPr>
                <w:ilvl w:val="1"/>
                <w:numId w:val="8"/>
              </w:numPr>
              <w:kinsoku/>
              <w:wordWrap/>
              <w:overflowPunct/>
              <w:topLinePunct w:val="0"/>
              <w:autoSpaceDE/>
              <w:autoSpaceDN/>
              <w:bidi w:val="0"/>
              <w:adjustRightInd/>
              <w:snapToGrid/>
              <w:spacing w:after="180" w:line="260" w:lineRule="auto"/>
              <w:ind w:hanging="420"/>
              <w:textAlignment w:val="auto"/>
              <w:rPr>
                <w:sz w:val="20"/>
                <w:szCs w:val="20"/>
              </w:rPr>
            </w:pPr>
            <w:r>
              <w:rPr>
                <w:sz w:val="20"/>
                <w:szCs w:val="20"/>
                <w:lang w:eastAsia="zh-CN"/>
              </w:rPr>
              <w:t xml:space="preserve">Specify requirements for </w:t>
            </w:r>
            <w:bookmarkStart w:id="4" w:name="OLE_LINK10"/>
            <w:r>
              <w:rPr>
                <w:sz w:val="20"/>
                <w:szCs w:val="20"/>
                <w:lang w:eastAsia="zh-CN"/>
              </w:rPr>
              <w:t>handheld UE with 4Rx antennas</w:t>
            </w:r>
            <w:bookmarkEnd w:id="4"/>
            <w:r>
              <w:rPr>
                <w:sz w:val="20"/>
                <w:szCs w:val="20"/>
                <w:lang w:eastAsia="zh-CN"/>
              </w:rPr>
              <w:t xml:space="preserve"> including delta R</w:t>
            </w:r>
            <w:r>
              <w:rPr>
                <w:sz w:val="20"/>
                <w:szCs w:val="20"/>
                <w:vertAlign w:val="subscript"/>
                <w:lang w:eastAsia="zh-CN"/>
              </w:rPr>
              <w:t>IB,4R</w:t>
            </w:r>
            <w:r>
              <w:rPr>
                <w:sz w:val="20"/>
                <w:szCs w:val="20"/>
                <w:lang w:eastAsia="zh-CN"/>
              </w:rPr>
              <w:t xml:space="preserve"> and </w:t>
            </w:r>
            <w:r>
              <w:rPr>
                <w:sz w:val="20"/>
                <w:szCs w:val="20"/>
              </w:rPr>
              <w:t>∆T</w:t>
            </w:r>
            <w:r>
              <w:rPr>
                <w:sz w:val="20"/>
                <w:szCs w:val="20"/>
                <w:vertAlign w:val="subscript"/>
              </w:rPr>
              <w:t>RxSRS</w:t>
            </w:r>
          </w:p>
          <w:p>
            <w:pPr>
              <w:keepNext/>
              <w:keepLines/>
              <w:pageBreakBefore w:val="0"/>
              <w:widowControl/>
              <w:numPr>
                <w:ilvl w:val="2"/>
                <w:numId w:val="8"/>
              </w:numPr>
              <w:kinsoku/>
              <w:wordWrap/>
              <w:overflowPunct/>
              <w:topLinePunct w:val="0"/>
              <w:autoSpaceDE/>
              <w:autoSpaceDN/>
              <w:bidi w:val="0"/>
              <w:adjustRightInd/>
              <w:snapToGrid/>
              <w:spacing w:after="180" w:line="260" w:lineRule="auto"/>
              <w:ind w:hanging="420"/>
              <w:textAlignment w:val="auto"/>
              <w:rPr>
                <w:sz w:val="20"/>
                <w:szCs w:val="20"/>
              </w:rPr>
            </w:pPr>
            <w:r>
              <w:rPr>
                <w:sz w:val="20"/>
                <w:szCs w:val="20"/>
                <w:lang w:eastAsia="zh-CN"/>
              </w:rPr>
              <w:t>4Rx is optional feature for handheld UE in low frequency bands</w:t>
            </w:r>
          </w:p>
          <w:p>
            <w:pPr>
              <w:keepNext/>
              <w:keepLines/>
              <w:pageBreakBefore w:val="0"/>
              <w:widowControl/>
              <w:numPr>
                <w:ilvl w:val="2"/>
                <w:numId w:val="8"/>
              </w:numPr>
              <w:kinsoku/>
              <w:wordWrap/>
              <w:overflowPunct/>
              <w:topLinePunct w:val="0"/>
              <w:autoSpaceDE/>
              <w:autoSpaceDN/>
              <w:bidi w:val="0"/>
              <w:adjustRightInd/>
              <w:snapToGrid/>
              <w:spacing w:after="180" w:line="260" w:lineRule="auto"/>
              <w:ind w:hanging="420"/>
              <w:textAlignment w:val="auto"/>
              <w:rPr>
                <w:sz w:val="20"/>
                <w:szCs w:val="20"/>
              </w:rPr>
            </w:pPr>
            <w:r>
              <w:rPr>
                <w:sz w:val="20"/>
                <w:szCs w:val="20"/>
                <w:lang w:eastAsia="zh-CN"/>
              </w:rPr>
              <w:t xml:space="preserve">Signalling impact will be considered </w:t>
            </w:r>
            <w:r>
              <w:rPr>
                <w:rFonts w:hint="eastAsia"/>
                <w:sz w:val="20"/>
                <w:szCs w:val="20"/>
                <w:lang w:eastAsia="zh-CN"/>
              </w:rPr>
              <w:t>if</w:t>
            </w:r>
            <w:r>
              <w:rPr>
                <w:sz w:val="20"/>
                <w:szCs w:val="20"/>
                <w:lang w:eastAsia="zh-CN"/>
              </w:rPr>
              <w:t xml:space="preserve"> any.</w:t>
            </w:r>
          </w:p>
          <w:p>
            <w:pPr>
              <w:keepNext/>
              <w:keepLines/>
              <w:pageBreakBefore w:val="0"/>
              <w:widowControl/>
              <w:numPr>
                <w:ilvl w:val="1"/>
                <w:numId w:val="8"/>
              </w:numPr>
              <w:kinsoku/>
              <w:wordWrap/>
              <w:overflowPunct/>
              <w:topLinePunct w:val="0"/>
              <w:autoSpaceDE/>
              <w:autoSpaceDN/>
              <w:bidi w:val="0"/>
              <w:adjustRightInd/>
              <w:snapToGrid/>
              <w:spacing w:after="180" w:line="260" w:lineRule="auto"/>
              <w:ind w:hanging="420"/>
              <w:textAlignment w:val="auto"/>
              <w:rPr>
                <w:rFonts w:hint="eastAsia"/>
                <w:bCs/>
                <w:color w:val="auto"/>
                <w:kern w:val="0"/>
                <w:sz w:val="20"/>
                <w:szCs w:val="20"/>
                <w:highlight w:val="none"/>
                <w:vertAlign w:val="baseline"/>
                <w:lang w:val="en-US" w:eastAsia="zh-CN"/>
              </w:rPr>
            </w:pPr>
            <w:r>
              <w:rPr>
                <w:sz w:val="20"/>
                <w:szCs w:val="20"/>
                <w:lang w:eastAsia="zh-CN"/>
              </w:rPr>
              <w:t>Low frequency bands considered in this WI is in table 4.1-1 with the contact information inside.</w:t>
            </w:r>
          </w:p>
        </w:tc>
      </w:tr>
    </w:tbl>
    <w:p>
      <w:pPr>
        <w:keepNext/>
        <w:keepLines/>
        <w:pageBreakBefore w:val="0"/>
        <w:widowControl/>
        <w:numPr>
          <w:ilvl w:val="0"/>
          <w:numId w:val="0"/>
        </w:numPr>
        <w:kinsoku/>
        <w:wordWrap/>
        <w:overflowPunct w:val="0"/>
        <w:topLinePunct w:val="0"/>
        <w:autoSpaceDE w:val="0"/>
        <w:autoSpaceDN w:val="0"/>
        <w:bidi w:val="0"/>
        <w:adjustRightInd w:val="0"/>
        <w:snapToGrid/>
        <w:spacing w:beforeLines="-2147483648" w:after="180" w:afterLines="-2147483648" w:line="240" w:lineRule="auto"/>
        <w:ind w:left="420" w:leftChars="0"/>
        <w:jc w:val="left"/>
        <w:textAlignment w:val="baseline"/>
        <w:rPr>
          <w:rFonts w:ascii="Times New Roman" w:hAnsi="Times New Roman" w:eastAsia="等线" w:cs="Times New Roman"/>
          <w:i/>
          <w:iCs/>
          <w:color w:val="auto"/>
          <w:kern w:val="0"/>
          <w:sz w:val="20"/>
          <w:lang w:val="en-GB" w:eastAsia="en-GB"/>
        </w:rPr>
      </w:pPr>
    </w:p>
    <w:p>
      <w:pPr>
        <w:keepNext/>
        <w:keepLines/>
        <w:pageBreakBefore w:val="0"/>
        <w:widowControl/>
        <w:numPr>
          <w:ilvl w:val="0"/>
          <w:numId w:val="0"/>
        </w:numPr>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hint="default" w:eastAsia="等线" w:cs="Times New Roman"/>
          <w:b w:val="0"/>
          <w:bCs w:val="0"/>
          <w:i w:val="0"/>
          <w:iCs w:val="0"/>
          <w:color w:val="auto"/>
          <w:kern w:val="0"/>
          <w:sz w:val="20"/>
          <w:lang w:val="en-US" w:eastAsia="zh-CN"/>
        </w:rPr>
      </w:pPr>
      <w:r>
        <w:rPr>
          <w:rFonts w:hint="eastAsia" w:eastAsia="等线" w:cs="Times New Roman"/>
          <w:b w:val="0"/>
          <w:bCs w:val="0"/>
          <w:i w:val="0"/>
          <w:iCs w:val="0"/>
          <w:color w:val="auto"/>
          <w:kern w:val="0"/>
          <w:sz w:val="20"/>
          <w:lang w:val="en-US" w:eastAsia="zh-CN"/>
        </w:rPr>
        <w:t xml:space="preserve">It means all of the requested low band, including not only </w:t>
      </w:r>
      <w:bookmarkStart w:id="5" w:name="OLE_LINK14"/>
      <w:r>
        <w:rPr>
          <w:rFonts w:hint="eastAsia" w:eastAsia="等线" w:cs="Times New Roman"/>
          <w:b w:val="0"/>
          <w:bCs w:val="0"/>
          <w:i w:val="0"/>
          <w:iCs w:val="0"/>
          <w:color w:val="auto"/>
          <w:kern w:val="0"/>
          <w:sz w:val="20"/>
          <w:lang w:val="en-US" w:eastAsia="zh-CN"/>
        </w:rPr>
        <w:t>the existing sub-1GHz bands</w:t>
      </w:r>
      <w:bookmarkEnd w:id="5"/>
      <w:bookmarkStart w:id="6" w:name="OLE_LINK8"/>
      <w:r>
        <w:rPr>
          <w:rFonts w:hint="eastAsia" w:eastAsia="等线" w:cs="Times New Roman"/>
          <w:b w:val="0"/>
          <w:bCs w:val="0"/>
          <w:i w:val="0"/>
          <w:iCs w:val="0"/>
          <w:color w:val="auto"/>
          <w:kern w:val="0"/>
          <w:sz w:val="20"/>
          <w:lang w:val="en-US" w:eastAsia="zh-CN"/>
        </w:rPr>
        <w:t xml:space="preserve"> (i.e. </w:t>
      </w:r>
      <w:r>
        <w:rPr>
          <w:rFonts w:hint="eastAsia"/>
          <w:bCs/>
          <w:color w:val="auto"/>
          <w:kern w:val="0"/>
          <w:sz w:val="20"/>
          <w:szCs w:val="20"/>
          <w:highlight w:val="none"/>
          <w:lang w:val="en-US" w:eastAsia="zh-CN"/>
        </w:rPr>
        <w:t>n28/n20/n8/n5/n26/n71</w:t>
      </w:r>
      <w:r>
        <w:rPr>
          <w:rFonts w:hint="eastAsia" w:eastAsia="等线" w:cs="Times New Roman"/>
          <w:b w:val="0"/>
          <w:bCs w:val="0"/>
          <w:i w:val="0"/>
          <w:iCs w:val="0"/>
          <w:color w:val="auto"/>
          <w:kern w:val="0"/>
          <w:sz w:val="20"/>
          <w:lang w:val="en-US" w:eastAsia="zh-CN"/>
        </w:rPr>
        <w:t>)</w:t>
      </w:r>
      <w:bookmarkEnd w:id="6"/>
      <w:r>
        <w:rPr>
          <w:rFonts w:hint="eastAsia" w:eastAsia="等线" w:cs="Times New Roman"/>
          <w:b w:val="0"/>
          <w:bCs w:val="0"/>
          <w:i w:val="0"/>
          <w:iCs w:val="0"/>
          <w:color w:val="auto"/>
          <w:kern w:val="0"/>
          <w:sz w:val="20"/>
          <w:lang w:val="en-US" w:eastAsia="zh-CN"/>
        </w:rPr>
        <w:t xml:space="preserve"> in the WID, but also the possible new requested sub-1GHz bands in the future, share the same agreements on the feasibility, i.e. </w:t>
      </w:r>
      <w:r>
        <w:rPr>
          <w:rFonts w:hint="eastAsia" w:eastAsia="等线"/>
          <w:color w:val="auto"/>
          <w:kern w:val="0"/>
          <w:sz w:val="20"/>
        </w:rPr>
        <w:t>The feasibility to support low band 4Rx in handheld UE is confirmed at least for some UE</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color w:val="auto"/>
          <w:kern w:val="0"/>
          <w:sz w:val="20"/>
          <w:szCs w:val="20"/>
          <w:highlight w:val="none"/>
          <w:lang w:val="en-US" w:eastAsia="zh-CN"/>
        </w:rPr>
      </w:pPr>
      <w:r>
        <w:rPr>
          <w:rFonts w:hint="eastAsia" w:eastAsia="等线" w:cs="Times New Roman"/>
          <w:b w:val="0"/>
          <w:bCs w:val="0"/>
          <w:i w:val="0"/>
          <w:iCs w:val="0"/>
          <w:color w:val="auto"/>
          <w:kern w:val="0"/>
          <w:sz w:val="20"/>
          <w:lang w:val="en-US" w:eastAsia="zh-CN"/>
        </w:rPr>
        <w:t xml:space="preserve">For the RF requirements, </w:t>
      </w:r>
      <w:bookmarkStart w:id="7" w:name="OLE_LINK25"/>
      <w:r>
        <w:rPr>
          <w:rFonts w:hint="eastAsia"/>
          <w:bCs/>
          <w:color w:val="auto"/>
          <w:kern w:val="0"/>
          <w:sz w:val="20"/>
          <w:szCs w:val="20"/>
          <w:highlight w:val="none"/>
          <w:lang w:val="en-US" w:eastAsia="zh-CN"/>
        </w:rPr>
        <w:t>there were some agreements captured in the WF[2], in which:</w:t>
      </w:r>
    </w:p>
    <w:p>
      <w:pPr>
        <w:keepNext/>
        <w:keepLines/>
        <w:pageBreakBefore w:val="0"/>
        <w:widowControl/>
        <w:numPr>
          <w:ilvl w:val="0"/>
          <w:numId w:val="9"/>
        </w:numPr>
        <w:kinsoku/>
        <w:wordWrap/>
        <w:overflowPunct/>
        <w:topLinePunct w:val="0"/>
        <w:autoSpaceDE/>
        <w:autoSpaceDN/>
        <w:bidi w:val="0"/>
        <w:adjustRightInd/>
        <w:snapToGrid/>
        <w:spacing w:after="120"/>
        <w:ind w:left="420" w:hanging="420" w:firstLineChars="0"/>
        <w:textAlignment w:val="auto"/>
        <w:rPr>
          <w:rFonts w:ascii="Times New Roman" w:hAnsi="Times New Roman" w:eastAsia="MS Mincho" w:cs="Times New Roman"/>
          <w:i w:val="0"/>
          <w:iCs w:val="0"/>
          <w:color w:val="auto"/>
          <w:sz w:val="20"/>
          <w:szCs w:val="20"/>
          <w:highlight w:val="none"/>
          <w:lang w:val="en-GB" w:eastAsia="zh-CN" w:bidi="ar-SA"/>
        </w:rPr>
      </w:pPr>
      <w:r>
        <w:rPr>
          <w:rFonts w:hint="eastAsia" w:ascii="Times New Roman" w:hAnsi="Times New Roman" w:eastAsia="MS Mincho" w:cs="Times New Roman"/>
          <w:i w:val="0"/>
          <w:iCs w:val="0"/>
          <w:color w:val="auto"/>
          <w:sz w:val="20"/>
          <w:szCs w:val="20"/>
          <w:highlight w:val="none"/>
          <w:lang w:val="en-US" w:eastAsia="zh-CN" w:bidi="ar-SA"/>
        </w:rPr>
        <w:t xml:space="preserve">For </w:t>
      </w:r>
      <w:r>
        <w:rPr>
          <w:rFonts w:ascii="Times New Roman" w:hAnsi="Times New Roman" w:eastAsia="MS Mincho" w:cs="Times New Roman"/>
          <w:i w:val="0"/>
          <w:iCs w:val="0"/>
          <w:color w:val="auto"/>
          <w:sz w:val="20"/>
          <w:szCs w:val="20"/>
          <w:highlight w:val="none"/>
          <w:lang w:val="en-GB" w:eastAsia="en-US" w:bidi="ar-SA"/>
        </w:rPr>
        <w:t>deltaT</w:t>
      </w:r>
      <w:r>
        <w:rPr>
          <w:rFonts w:ascii="Times New Roman" w:hAnsi="Times New Roman" w:eastAsia="MS Mincho" w:cs="Times New Roman"/>
          <w:i w:val="0"/>
          <w:iCs w:val="0"/>
          <w:color w:val="auto"/>
          <w:sz w:val="20"/>
          <w:szCs w:val="20"/>
          <w:highlight w:val="none"/>
          <w:vertAlign w:val="subscript"/>
          <w:lang w:val="en-GB" w:eastAsia="en-US" w:bidi="ar-SA"/>
        </w:rPr>
        <w:t>RxSRS</w:t>
      </w:r>
      <w:r>
        <w:rPr>
          <w:rFonts w:hint="eastAsia" w:ascii="Times New Roman" w:hAnsi="Times New Roman" w:eastAsia="MS Mincho" w:cs="Times New Roman"/>
          <w:i w:val="0"/>
          <w:iCs w:val="0"/>
          <w:color w:val="auto"/>
          <w:sz w:val="20"/>
          <w:szCs w:val="20"/>
          <w:highlight w:val="none"/>
          <w:lang w:val="en-US" w:eastAsia="zh-CN" w:bidi="ar-SA"/>
        </w:rPr>
        <w:t xml:space="preserve"> ,</w:t>
      </w:r>
      <w:r>
        <w:rPr>
          <w:rFonts w:ascii="Times New Roman" w:hAnsi="Times New Roman" w:eastAsia="MS Mincho" w:cs="Times New Roman"/>
          <w:i w:val="0"/>
          <w:iCs w:val="0"/>
          <w:color w:val="auto"/>
          <w:sz w:val="20"/>
          <w:szCs w:val="20"/>
          <w:highlight w:val="none"/>
          <w:lang w:val="en-GB" w:eastAsia="zh-CN" w:bidi="ar-SA"/>
        </w:rPr>
        <w:t>No spec update needed in RAN4, i.e. current spec also applies to FDD low bands.</w:t>
      </w:r>
    </w:p>
    <w:p>
      <w:pPr>
        <w:keepNext/>
        <w:keepLines/>
        <w:pageBreakBefore w:val="0"/>
        <w:widowControl/>
        <w:numPr>
          <w:ilvl w:val="0"/>
          <w:numId w:val="9"/>
        </w:numPr>
        <w:kinsoku/>
        <w:wordWrap/>
        <w:overflowPunct/>
        <w:topLinePunct w:val="0"/>
        <w:autoSpaceDE/>
        <w:autoSpaceDN/>
        <w:bidi w:val="0"/>
        <w:adjustRightInd/>
        <w:snapToGrid/>
        <w:spacing w:after="120"/>
        <w:ind w:left="420" w:hanging="420" w:firstLineChars="0"/>
        <w:textAlignment w:val="auto"/>
        <w:rPr>
          <w:rFonts w:ascii="Times New Roman" w:hAnsi="Times New Roman" w:eastAsia="MS Mincho" w:cs="Times New Roman"/>
          <w:i w:val="0"/>
          <w:iCs w:val="0"/>
          <w:color w:val="auto"/>
          <w:sz w:val="20"/>
          <w:szCs w:val="20"/>
          <w:highlight w:val="none"/>
          <w:lang w:val="en-GB" w:eastAsia="en-US" w:bidi="ar-SA"/>
        </w:rPr>
      </w:pPr>
      <w:r>
        <w:rPr>
          <w:rFonts w:ascii="Times New Roman" w:hAnsi="Times New Roman" w:eastAsia="MS Mincho" w:cs="Times New Roman"/>
          <w:i w:val="0"/>
          <w:iCs w:val="0"/>
          <w:color w:val="auto"/>
          <w:sz w:val="20"/>
          <w:szCs w:val="20"/>
          <w:highlight w:val="none"/>
          <w:lang w:val="en-GB" w:eastAsia="zh-CN" w:bidi="ar-SA"/>
        </w:rPr>
        <w:t>No new signalling is expected to differentiate the requirements for different UE types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eastAsia="宋体"/>
          <w:bCs/>
          <w:color w:val="auto"/>
          <w:kern w:val="0"/>
          <w:sz w:val="20"/>
          <w:szCs w:val="20"/>
          <w:highlight w:val="none"/>
          <w:lang w:val="en-US" w:eastAsia="zh-CN"/>
        </w:rPr>
      </w:pPr>
      <w:r>
        <w:rPr>
          <w:rFonts w:hint="eastAsia"/>
          <w:sz w:val="20"/>
          <w:szCs w:val="20"/>
          <w:lang w:val="en-US" w:eastAsia="zh-CN"/>
        </w:rPr>
        <w:t xml:space="preserve">Therefore, the only left issue for the RF requirement is the </w:t>
      </w:r>
      <w:r>
        <w:rPr>
          <w:b w:val="0"/>
          <w:bCs/>
          <w:sz w:val="20"/>
          <w:szCs w:val="20"/>
        </w:rPr>
        <w:t>ΔR</w:t>
      </w:r>
      <w:r>
        <w:rPr>
          <w:b w:val="0"/>
          <w:bCs/>
          <w:sz w:val="20"/>
          <w:szCs w:val="20"/>
          <w:vertAlign w:val="subscript"/>
        </w:rPr>
        <w:t>IB,4R</w:t>
      </w:r>
      <w:r>
        <w:rPr>
          <w:rFonts w:hint="eastAsia" w:eastAsia="宋体"/>
          <w:b w:val="0"/>
          <w:bCs/>
          <w:sz w:val="21"/>
          <w:szCs w:val="21"/>
          <w:vertAlign w:val="subscript"/>
          <w:lang w:val="en-US" w:eastAsia="zh-CN"/>
        </w:rPr>
        <w:t xml:space="preserve"> </w:t>
      </w:r>
      <w:r>
        <w:rPr>
          <w:rFonts w:hint="eastAsia" w:eastAsia="宋体"/>
          <w:sz w:val="20"/>
          <w:szCs w:val="20"/>
          <w:lang w:val="en-US" w:eastAsia="zh-CN"/>
        </w:rPr>
        <w:t>requirements</w:t>
      </w:r>
      <w:r>
        <w:rPr>
          <w:rFonts w:hint="eastAsia"/>
          <w:sz w:val="20"/>
          <w:szCs w:val="20"/>
          <w:lang w:val="en-US" w:eastAsia="zh-CN"/>
        </w:rPr>
        <w:t>, which were discussed for several meetings</w:t>
      </w:r>
    </w:p>
    <w:bookmarkEnd w:id="7"/>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olor w:val="auto"/>
          <w:sz w:val="20"/>
          <w:szCs w:val="20"/>
          <w:lang w:val="en-US" w:eastAsia="zh-CN"/>
        </w:rPr>
      </w:pPr>
      <w:bookmarkStart w:id="8" w:name="OLE_LINK24"/>
      <w:bookmarkStart w:id="9" w:name="OLE_LINK23"/>
      <w:bookmarkStart w:id="10" w:name="OLE_LINK28"/>
      <w:bookmarkStart w:id="11" w:name="OLE_LINK66"/>
      <w:r>
        <w:rPr>
          <w:rFonts w:hint="eastAsia"/>
          <w:b w:val="0"/>
          <w:color w:val="auto"/>
          <w:sz w:val="20"/>
          <w:u w:val="none"/>
          <w:lang w:val="en-US" w:eastAsia="zh-CN"/>
        </w:rPr>
        <w:t>For</w:t>
      </w:r>
      <w:bookmarkStart w:id="12" w:name="OLE_LINK6"/>
      <w:r>
        <w:rPr>
          <w:rFonts w:hint="eastAsia"/>
          <w:b w:val="0"/>
          <w:color w:val="auto"/>
          <w:sz w:val="20"/>
          <w:u w:val="none"/>
          <w:lang w:val="en-US" w:eastAsia="zh-CN"/>
        </w:rPr>
        <w:t xml:space="preserve"> </w:t>
      </w:r>
      <w:bookmarkStart w:id="13" w:name="OLE_LINK4"/>
      <w:bookmarkStart w:id="14" w:name="OLE_LINK5"/>
      <w:r>
        <w:rPr>
          <w:rFonts w:eastAsia="MS Mincho" w:cs="Arial"/>
          <w:b w:val="0"/>
          <w:bCs w:val="0"/>
          <w:i w:val="0"/>
          <w:iCs w:val="0"/>
          <w:color w:val="auto"/>
          <w:sz w:val="20"/>
          <w:szCs w:val="20"/>
        </w:rPr>
        <w:t>Δ</w:t>
      </w:r>
      <w:bookmarkEnd w:id="13"/>
      <w:r>
        <w:rPr>
          <w:rFonts w:hint="eastAsia"/>
          <w:b w:val="0"/>
          <w:color w:val="auto"/>
          <w:sz w:val="20"/>
          <w:u w:val="none"/>
        </w:rPr>
        <w:t>R</w:t>
      </w:r>
      <w:r>
        <w:rPr>
          <w:rFonts w:hint="eastAsia"/>
          <w:b w:val="0"/>
          <w:color w:val="auto"/>
          <w:sz w:val="20"/>
          <w:u w:val="none"/>
          <w:vertAlign w:val="subscript"/>
        </w:rPr>
        <w:t>IB,4R</w:t>
      </w:r>
      <w:bookmarkEnd w:id="14"/>
      <w:r>
        <w:rPr>
          <w:rFonts w:hint="eastAsia"/>
          <w:b w:val="0"/>
          <w:color w:val="auto"/>
          <w:sz w:val="20"/>
          <w:u w:val="none"/>
          <w:vertAlign w:val="baseline"/>
          <w:lang w:val="en-US" w:eastAsia="zh-CN"/>
        </w:rPr>
        <w:t>,</w:t>
      </w:r>
      <w:bookmarkEnd w:id="12"/>
      <w:r>
        <w:rPr>
          <w:rFonts w:hint="eastAsia"/>
          <w:b w:val="0"/>
          <w:color w:val="auto"/>
          <w:sz w:val="20"/>
          <w:u w:val="none"/>
          <w:vertAlign w:val="baseline"/>
          <w:lang w:val="en-US" w:eastAsia="zh-CN"/>
        </w:rPr>
        <w:t xml:space="preserve"> </w:t>
      </w:r>
      <w:r>
        <w:rPr>
          <w:rFonts w:hint="eastAsia"/>
          <w:color w:val="auto"/>
          <w:sz w:val="20"/>
          <w:szCs w:val="20"/>
          <w:lang w:val="en-US" w:eastAsia="zh-CN"/>
        </w:rPr>
        <w:t xml:space="preserve">it was agree to </w:t>
      </w:r>
      <w:r>
        <w:rPr>
          <w:rFonts w:hint="eastAsia"/>
          <w:color w:val="auto"/>
          <w:sz w:val="20"/>
          <w:szCs w:val="20"/>
          <w:lang w:eastAsia="zh-CN"/>
        </w:rPr>
        <w:t>c</w:t>
      </w:r>
      <w:r>
        <w:rPr>
          <w:rFonts w:hint="eastAsia" w:eastAsia="宋体"/>
          <w:color w:val="auto"/>
          <w:sz w:val="20"/>
          <w:szCs w:val="20"/>
          <w:lang w:eastAsia="zh-CN"/>
        </w:rPr>
        <w:t>onsidering LTE 4Rx requirement as starting point</w:t>
      </w:r>
      <w:r>
        <w:rPr>
          <w:rFonts w:hint="eastAsia"/>
          <w:color w:val="auto"/>
          <w:sz w:val="20"/>
          <w:szCs w:val="20"/>
          <w:lang w:val="en-US" w:eastAsia="zh-CN"/>
        </w:rPr>
        <w:t xml:space="preserve"> in the past meeting, and in last meeting, the WF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napToGrid/>
              <w:spacing w:after="180"/>
              <w:textAlignment w:val="baseline"/>
              <w:rPr>
                <w:b/>
                <w:color w:val="0070C0"/>
                <w:u w:val="single"/>
                <w:lang w:eastAsia="ko-KR"/>
              </w:rPr>
            </w:pPr>
            <w:r>
              <w:rPr>
                <w:b/>
                <w:color w:val="0070C0"/>
                <w:u w:val="single"/>
                <w:lang w:eastAsia="ko-KR"/>
              </w:rPr>
              <w:t>Issue 1-2-2:</w:t>
            </w:r>
            <w:r>
              <w:rPr>
                <w:b/>
                <w:color w:val="0070C0"/>
                <w:sz w:val="15"/>
                <w:u w:val="single"/>
                <w:lang w:eastAsia="ko-KR"/>
              </w:rPr>
              <w:t xml:space="preserve">  </w:t>
            </w:r>
            <w:r>
              <w:rPr>
                <w:b/>
                <w:color w:val="0070C0"/>
                <w:u w:val="single"/>
              </w:rPr>
              <w:t>ΔR</w:t>
            </w:r>
            <w:r>
              <w:rPr>
                <w:b/>
                <w:color w:val="0070C0"/>
                <w:u w:val="single"/>
                <w:vertAlign w:val="subscript"/>
              </w:rPr>
              <w:t>IB,4R</w:t>
            </w:r>
          </w:p>
          <w:p>
            <w:pPr>
              <w:keepNext/>
              <w:keepLines/>
              <w:pageBreakBefore w:val="0"/>
              <w:kinsoku/>
              <w:wordWrap/>
              <w:overflowPunct w:val="0"/>
              <w:topLinePunct w:val="0"/>
              <w:autoSpaceDE w:val="0"/>
              <w:autoSpaceDN w:val="0"/>
              <w:bidi w:val="0"/>
              <w:adjustRightInd w:val="0"/>
              <w:snapToGrid/>
              <w:spacing w:after="120"/>
              <w:textAlignment w:val="baseline"/>
              <w:rPr>
                <w:szCs w:val="24"/>
                <w:lang w:eastAsia="zh-CN"/>
              </w:rPr>
            </w:pPr>
            <w:bookmarkStart w:id="15" w:name="OLE_LINK2"/>
            <w:r>
              <w:rPr>
                <w:b/>
                <w:szCs w:val="24"/>
                <w:lang w:eastAsia="zh-CN"/>
              </w:rPr>
              <w:t>WF:</w:t>
            </w:r>
            <w:r>
              <w:rPr>
                <w:szCs w:val="24"/>
                <w:lang w:eastAsia="zh-CN"/>
              </w:rPr>
              <w:t xml:space="preserve"> Value between [-2.7dB, -2.2dB] will be decided in next meeting.</w:t>
            </w:r>
          </w:p>
          <w:bookmarkEnd w:id="15"/>
          <w:p>
            <w:pPr>
              <w:keepNext/>
              <w:keepLines/>
              <w:pageBreakBefore w:val="0"/>
              <w:kinsoku/>
              <w:wordWrap/>
              <w:overflowPunct w:val="0"/>
              <w:topLinePunct w:val="0"/>
              <w:autoSpaceDE w:val="0"/>
              <w:autoSpaceDN w:val="0"/>
              <w:bidi w:val="0"/>
              <w:adjustRightInd w:val="0"/>
              <w:snapToGrid/>
              <w:spacing w:after="180"/>
              <w:textAlignment w:val="baseline"/>
              <w:rPr>
                <w:color w:val="0070C0"/>
                <w:lang w:eastAsia="zh-CN"/>
              </w:rPr>
            </w:pPr>
          </w:p>
          <w:p>
            <w:pPr>
              <w:keepNext/>
              <w:keepLines/>
              <w:pageBreakBefore w:val="0"/>
              <w:kinsoku/>
              <w:wordWrap/>
              <w:overflowPunct w:val="0"/>
              <w:topLinePunct w:val="0"/>
              <w:autoSpaceDE w:val="0"/>
              <w:autoSpaceDN w:val="0"/>
              <w:bidi w:val="0"/>
              <w:adjustRightInd w:val="0"/>
              <w:snapToGrid/>
              <w:spacing w:after="180"/>
              <w:textAlignment w:val="baseline"/>
              <w:rPr>
                <w:rFonts w:eastAsia="Malgun Gothic"/>
                <w:b/>
                <w:color w:val="0070C0"/>
                <w:u w:val="single"/>
                <w:lang w:eastAsia="ko-KR"/>
              </w:rPr>
            </w:pPr>
            <w:r>
              <w:rPr>
                <w:b/>
                <w:color w:val="0070C0"/>
                <w:u w:val="single"/>
                <w:lang w:eastAsia="ko-KR"/>
              </w:rPr>
              <w:t>Issue 1-2-1: How to</w:t>
            </w:r>
            <w:bookmarkStart w:id="16" w:name="OLE_LINK15"/>
            <w:r>
              <w:rPr>
                <w:b/>
                <w:color w:val="0070C0"/>
                <w:u w:val="single"/>
                <w:lang w:eastAsia="ko-KR"/>
              </w:rPr>
              <w:t xml:space="preserve"> specify requirements for handheld UE low band 4Rx (&lt;1GHz)</w:t>
            </w:r>
          </w:p>
          <w:bookmarkEnd w:id="16"/>
          <w:p>
            <w:pPr>
              <w:keepNext/>
              <w:keepLines/>
              <w:pageBreakBefore w:val="0"/>
              <w:kinsoku/>
              <w:wordWrap/>
              <w:overflowPunct w:val="0"/>
              <w:topLinePunct w:val="0"/>
              <w:autoSpaceDE w:val="0"/>
              <w:autoSpaceDN w:val="0"/>
              <w:bidi w:val="0"/>
              <w:adjustRightInd w:val="0"/>
              <w:snapToGrid/>
              <w:spacing w:after="120"/>
              <w:textAlignment w:val="baseline"/>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WF: </w:t>
            </w:r>
            <w:r>
              <w:rPr>
                <w:rFonts w:hint="default" w:ascii="Times New Roman" w:hAnsi="Times New Roman" w:cs="Times New Roman"/>
                <w:sz w:val="20"/>
                <w:szCs w:val="20"/>
                <w:lang w:eastAsia="zh-CN"/>
              </w:rPr>
              <w:t>FFS whether below</w:t>
            </w:r>
            <w:r>
              <w:rPr>
                <w:rFonts w:hint="default" w:ascii="Times New Roman" w:hAnsi="Times New Roman" w:cs="Times New Roman"/>
                <w:b/>
                <w:sz w:val="20"/>
                <w:szCs w:val="20"/>
                <w:lang w:eastAsia="zh-CN"/>
              </w:rPr>
              <w:t xml:space="preserve"> </w:t>
            </w:r>
            <w:r>
              <w:rPr>
                <w:rFonts w:hint="default" w:ascii="Times New Roman" w:hAnsi="Times New Roman" w:cs="Times New Roman"/>
                <w:sz w:val="20"/>
                <w:szCs w:val="20"/>
                <w:lang w:eastAsia="zh-CN"/>
              </w:rPr>
              <w:t>changes are agreeable in next meeting</w:t>
            </w:r>
          </w:p>
          <w:p>
            <w:pPr>
              <w:keepNext/>
              <w:keepLines/>
              <w:pageBreakBefore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cs="Times New Roman"/>
                <w:b/>
                <w:bCs/>
                <w:sz w:val="20"/>
                <w:szCs w:val="20"/>
                <w:vertAlign w:val="subscript"/>
              </w:rPr>
            </w:pPr>
            <w:bookmarkStart w:id="17" w:name="OLE_LINK33"/>
            <w:r>
              <w:rPr>
                <w:rFonts w:hint="default" w:ascii="Times New Roman" w:hAnsi="Times New Roman" w:cs="Times New Roman"/>
                <w:b/>
                <w:sz w:val="20"/>
                <w:szCs w:val="20"/>
              </w:rPr>
              <w:t>Table 7.3.2-2</w:t>
            </w:r>
            <w:bookmarkEnd w:id="17"/>
            <w:r>
              <w:rPr>
                <w:rFonts w:hint="default" w:ascii="Times New Roman" w:hAnsi="Times New Roman" w:cs="Times New Roman"/>
                <w:b/>
                <w:sz w:val="20"/>
                <w:szCs w:val="20"/>
              </w:rPr>
              <w:t>: Four antenna port reference sensitivity allowance ΔR</w:t>
            </w:r>
            <w:r>
              <w:rPr>
                <w:rFonts w:hint="default" w:ascii="Times New Roman" w:hAnsi="Times New Roman" w:cs="Times New Roman"/>
                <w:b/>
                <w:bCs/>
                <w:sz w:val="20"/>
                <w:szCs w:val="20"/>
                <w:vertAlign w:val="subscript"/>
              </w:rPr>
              <w:t>IB,4R</w:t>
            </w:r>
          </w:p>
          <w:tbl>
            <w:tblPr>
              <w:tblStyle w:val="2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Operating band</w:t>
                  </w:r>
                </w:p>
              </w:tc>
              <w:tc>
                <w:tcPr>
                  <w:tcW w:w="2970"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ΔR</w:t>
                  </w:r>
                  <w:r>
                    <w:rPr>
                      <w:rFonts w:hint="default" w:ascii="Times New Roman" w:hAnsi="Times New Roman" w:cs="Times New Roman"/>
                      <w:sz w:val="20"/>
                      <w:szCs w:val="20"/>
                      <w:vertAlign w:val="subscript"/>
                    </w:rPr>
                    <w:t xml:space="preserve">IB,4R </w:t>
                  </w:r>
                  <w:r>
                    <w:rPr>
                      <w:rFonts w:hint="default" w:ascii="Times New Roman" w:hAnsi="Times New Roman" w:cs="Times New Roman"/>
                      <w:sz w:val="20"/>
                      <w:szCs w:val="2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bookmarkStart w:id="18" w:name="OLE_LINK18"/>
                  <w:r>
                    <w:rPr>
                      <w:rFonts w:hint="default" w:ascii="Times New Roman" w:hAnsi="Times New Roman" w:cs="Times New Roman"/>
                      <w:sz w:val="20"/>
                      <w:szCs w:val="20"/>
                      <w:lang w:val="en-US" w:eastAsia="zh-CN"/>
                    </w:rPr>
                    <w:t xml:space="preserve">n5, </w:t>
                  </w:r>
                  <w:r>
                    <w:rPr>
                      <w:rFonts w:hint="default" w:ascii="Times New Roman" w:hAnsi="Times New Roman" w:cs="Times New Roman"/>
                      <w:sz w:val="20"/>
                      <w:szCs w:val="20"/>
                      <w:lang w:eastAsia="zh-TW"/>
                    </w:rPr>
                    <w:t xml:space="preserve">n8, </w:t>
                  </w:r>
                  <w:r>
                    <w:rPr>
                      <w:rFonts w:hint="default" w:ascii="Times New Roman" w:hAnsi="Times New Roman" w:cs="Times New Roman"/>
                      <w:sz w:val="20"/>
                      <w:szCs w:val="20"/>
                    </w:rPr>
                    <w:t xml:space="preserve">n28, n71, </w:t>
                  </w:r>
                  <w:r>
                    <w:rPr>
                      <w:rFonts w:hint="default" w:ascii="Times New Roman" w:hAnsi="Times New Roman" w:cs="Times New Roman"/>
                      <w:sz w:val="20"/>
                      <w:szCs w:val="20"/>
                      <w:lang w:val="en-US" w:eastAsia="zh-CN"/>
                    </w:rPr>
                    <w:t xml:space="preserve">n85, </w:t>
                  </w:r>
                  <w:r>
                    <w:rPr>
                      <w:rFonts w:hint="default" w:ascii="Times New Roman" w:hAnsi="Times New Roman" w:cs="Times New Roman"/>
                      <w:sz w:val="20"/>
                      <w:szCs w:val="20"/>
                    </w:rPr>
                    <w:t>n105</w:t>
                  </w:r>
                  <w:bookmarkEnd w:id="18"/>
                </w:p>
              </w:tc>
              <w:tc>
                <w:tcPr>
                  <w:tcW w:w="2970"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vertAlign w:val="superscript"/>
                    </w:rPr>
                  </w:pPr>
                  <w:r>
                    <w:rPr>
                      <w:rFonts w:hint="default" w:ascii="Times New Roman" w:hAnsi="Times New Roman" w:cs="Times New Roman"/>
                      <w:sz w:val="20"/>
                      <w:szCs w:val="20"/>
                    </w:rPr>
                    <w:t>-2.7</w:t>
                  </w:r>
                  <w:r>
                    <w:rPr>
                      <w:rFonts w:hint="default" w:ascii="Times New Roman" w:hAnsi="Times New Roman" w:cs="Times New Roman"/>
                      <w:sz w:val="20"/>
                      <w:szCs w:val="20"/>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n1, n2, n3, </w:t>
                  </w:r>
                  <w:r>
                    <w:rPr>
                      <w:rFonts w:hint="default" w:ascii="Times New Roman" w:hAnsi="Times New Roman" w:cs="Times New Roman"/>
                      <w:sz w:val="20"/>
                      <w:szCs w:val="20"/>
                      <w:lang w:val="en-US" w:eastAsia="zh-CN"/>
                    </w:rPr>
                    <w:t xml:space="preserve">n25, </w:t>
                  </w:r>
                  <w:r>
                    <w:rPr>
                      <w:rFonts w:hint="default" w:ascii="Times New Roman" w:hAnsi="Times New Roman" w:cs="Times New Roman"/>
                      <w:sz w:val="20"/>
                      <w:szCs w:val="20"/>
                    </w:rPr>
                    <w:t>n30, n40, n7,</w:t>
                  </w:r>
                  <w:r>
                    <w:rPr>
                      <w:rFonts w:hint="default" w:ascii="Times New Roman" w:hAnsi="Times New Roman" w:eastAsia="Calibri" w:cs="Times New Roman"/>
                      <w:sz w:val="20"/>
                      <w:szCs w:val="20"/>
                    </w:rPr>
                    <w:t xml:space="preserve"> n34, n38, n39, n41, n66, n70</w:t>
                  </w:r>
                </w:p>
              </w:tc>
              <w:tc>
                <w:tcPr>
                  <w:tcW w:w="2970"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eastAsia="Calibri" w:cs="Times New Roman"/>
                      <w:sz w:val="20"/>
                      <w:szCs w:val="20"/>
                    </w:rPr>
                  </w:pPr>
                  <w:r>
                    <w:rPr>
                      <w:rFonts w:hint="default" w:ascii="Times New Roman" w:hAnsi="Times New Roman" w:eastAsia="Calibri" w:cs="Times New Roman"/>
                      <w:sz w:val="20"/>
                      <w:szCs w:val="20"/>
                    </w:rPr>
                    <w:t>n48, n77, n78, n79, n104</w:t>
                  </w:r>
                </w:p>
              </w:tc>
              <w:tc>
                <w:tcPr>
                  <w:tcW w:w="2970"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bookmarkStart w:id="19" w:name="OLE_LINK32"/>
                  <w:r>
                    <w:rPr>
                      <w:rFonts w:hint="default" w:ascii="Times New Roman" w:hAnsi="Times New Roman" w:cs="Times New Roman"/>
                      <w:sz w:val="20"/>
                      <w:szCs w:val="20"/>
                    </w:rPr>
                    <w:t>4 Rx operation</w:t>
                  </w:r>
                  <w:bookmarkEnd w:id="19"/>
                  <w:r>
                    <w:rPr>
                      <w:rFonts w:hint="default" w:ascii="Times New Roman" w:hAnsi="Times New Roman" w:cs="Times New Roman"/>
                      <w:sz w:val="20"/>
                      <w:szCs w:val="20"/>
                    </w:rPr>
                    <w:t xml:space="preserve"> is </w:t>
                  </w:r>
                  <w:bookmarkStart w:id="20" w:name="OLE_LINK26"/>
                  <w:r>
                    <w:rPr>
                      <w:rFonts w:hint="default" w:ascii="Times New Roman" w:hAnsi="Times New Roman" w:cs="Times New Roman"/>
                      <w:sz w:val="20"/>
                      <w:szCs w:val="20"/>
                    </w:rPr>
                    <w:t>targeted for FWA form factor</w:t>
                  </w:r>
                  <w:bookmarkEnd w:id="20"/>
                  <w:r>
                    <w:rPr>
                      <w:rFonts w:hint="default" w:ascii="Times New Roman" w:hAnsi="Times New Roman" w:cs="Times New Roman"/>
                      <w:sz w:val="20"/>
                      <w:szCs w:val="20"/>
                      <w:lang w:eastAsia="zh-CN"/>
                    </w:rPr>
                    <w:t xml:space="preserve">, and for </w:t>
                  </w:r>
                  <w:r>
                    <w:rPr>
                      <w:rFonts w:hint="default" w:ascii="Times New Roman" w:hAnsi="Times New Roman" w:cs="Times New Roman"/>
                      <w:sz w:val="20"/>
                      <w:szCs w:val="20"/>
                    </w:rPr>
                    <w:t>handheld UE ΔR</w:t>
                  </w:r>
                  <w:r>
                    <w:rPr>
                      <w:rFonts w:hint="default" w:ascii="Times New Roman" w:hAnsi="Times New Roman" w:cs="Times New Roman"/>
                      <w:sz w:val="20"/>
                      <w:szCs w:val="20"/>
                      <w:vertAlign w:val="subscript"/>
                    </w:rPr>
                    <w:t>IB,4R</w:t>
                  </w:r>
                  <w:r>
                    <w:rPr>
                      <w:rFonts w:hint="default" w:ascii="Times New Roman" w:hAnsi="Times New Roman" w:cs="Times New Roman"/>
                      <w:sz w:val="20"/>
                      <w:szCs w:val="20"/>
                    </w:rPr>
                    <w:t xml:space="preserve"> = </w:t>
                  </w:r>
                  <w:r>
                    <w:rPr>
                      <w:rFonts w:hint="default" w:ascii="Times New Roman" w:hAnsi="Times New Roman" w:cs="Times New Roman"/>
                      <w:sz w:val="20"/>
                      <w:szCs w:val="20"/>
                      <w:highlight w:val="yellow"/>
                    </w:rPr>
                    <w:t xml:space="preserve">TBD </w:t>
                  </w:r>
                  <w:r>
                    <w:rPr>
                      <w:rFonts w:hint="default" w:ascii="Times New Roman" w:hAnsi="Times New Roman" w:cs="Times New Roman"/>
                      <w:sz w:val="20"/>
                      <w:szCs w:val="20"/>
                    </w:rPr>
                    <w:t>is applied</w:t>
                  </w:r>
                </w:p>
              </w:tc>
            </w:tr>
          </w:tbl>
          <w:p>
            <w:pPr>
              <w:keepNext/>
              <w:keepLines/>
              <w:pageBreakBefore w:val="0"/>
              <w:kinsoku/>
              <w:wordWrap/>
              <w:overflowPunct w:val="0"/>
              <w:topLinePunct w:val="0"/>
              <w:autoSpaceDE w:val="0"/>
              <w:autoSpaceDN w:val="0"/>
              <w:bidi w:val="0"/>
              <w:adjustRightInd w:val="0"/>
              <w:snapToGrid/>
              <w:spacing w:after="120"/>
              <w:textAlignment w:val="baseline"/>
              <w:rPr>
                <w:rFonts w:hint="eastAsia"/>
                <w:sz w:val="20"/>
                <w:szCs w:val="20"/>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olor w:val="auto"/>
          <w:sz w:val="20"/>
          <w:szCs w:val="20"/>
          <w:lang w:val="en-US" w:eastAsia="zh-CN"/>
        </w:rPr>
      </w:pP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olor w:val="auto"/>
          <w:sz w:val="20"/>
          <w:szCs w:val="20"/>
          <w:lang w:val="en-US" w:eastAsia="zh-CN"/>
        </w:rPr>
      </w:pPr>
      <w:r>
        <w:rPr>
          <w:rFonts w:hint="eastAsia"/>
          <w:color w:val="auto"/>
          <w:sz w:val="20"/>
          <w:szCs w:val="20"/>
          <w:lang w:val="en-US" w:eastAsia="zh-CN"/>
        </w:rPr>
        <w:t xml:space="preserve">For the </w:t>
      </w:r>
      <w:bookmarkStart w:id="21" w:name="OLE_LINK3"/>
      <w:bookmarkStart w:id="22" w:name="OLE_LINK1"/>
      <w:r>
        <w:rPr>
          <w:rFonts w:eastAsia="MS Mincho" w:cs="Arial"/>
          <w:b w:val="0"/>
          <w:bCs w:val="0"/>
          <w:i w:val="0"/>
          <w:iCs w:val="0"/>
          <w:color w:val="auto"/>
          <w:sz w:val="20"/>
          <w:szCs w:val="20"/>
        </w:rPr>
        <w:t>Δ</w:t>
      </w:r>
      <w:r>
        <w:rPr>
          <w:rFonts w:hint="eastAsia"/>
          <w:b w:val="0"/>
          <w:color w:val="auto"/>
          <w:sz w:val="20"/>
          <w:u w:val="none"/>
        </w:rPr>
        <w:t>R</w:t>
      </w:r>
      <w:r>
        <w:rPr>
          <w:rFonts w:hint="eastAsia"/>
          <w:b w:val="0"/>
          <w:color w:val="auto"/>
          <w:sz w:val="20"/>
          <w:u w:val="none"/>
          <w:vertAlign w:val="subscript"/>
        </w:rPr>
        <w:t>IB,4R</w:t>
      </w:r>
      <w:bookmarkEnd w:id="21"/>
      <w:r>
        <w:rPr>
          <w:rFonts w:hint="eastAsia"/>
          <w:b w:val="0"/>
          <w:color w:val="auto"/>
          <w:sz w:val="20"/>
          <w:u w:val="none"/>
          <w:vertAlign w:val="subscript"/>
          <w:lang w:val="en-US" w:eastAsia="zh-CN"/>
        </w:rPr>
        <w:t xml:space="preserve"> </w:t>
      </w:r>
      <w:bookmarkEnd w:id="22"/>
      <w:r>
        <w:rPr>
          <w:rFonts w:hint="eastAsia"/>
          <w:color w:val="auto"/>
          <w:sz w:val="20"/>
          <w:szCs w:val="20"/>
          <w:lang w:val="en-US" w:eastAsia="zh-CN"/>
        </w:rPr>
        <w:t xml:space="preserve">values, the main </w:t>
      </w:r>
      <w:bookmarkStart w:id="23" w:name="OLE_LINK13"/>
      <w:r>
        <w:rPr>
          <w:rFonts w:hint="eastAsia"/>
          <w:color w:val="auto"/>
          <w:sz w:val="20"/>
          <w:szCs w:val="20"/>
          <w:lang w:val="en-US" w:eastAsia="zh-CN"/>
        </w:rPr>
        <w:t xml:space="preserve">reason </w:t>
      </w:r>
      <w:bookmarkStart w:id="24" w:name="OLE_LINK9"/>
      <w:r>
        <w:rPr>
          <w:rFonts w:hint="eastAsia"/>
          <w:color w:val="auto"/>
          <w:sz w:val="20"/>
          <w:szCs w:val="20"/>
          <w:lang w:val="en-US" w:eastAsia="zh-CN"/>
        </w:rPr>
        <w:t>for -2.7dB</w:t>
      </w:r>
      <w:bookmarkEnd w:id="23"/>
      <w:bookmarkEnd w:id="24"/>
      <w:r>
        <w:rPr>
          <w:rFonts w:hint="eastAsia"/>
          <w:color w:val="auto"/>
          <w:sz w:val="20"/>
          <w:szCs w:val="20"/>
          <w:lang w:val="en-US" w:eastAsia="zh-CN"/>
        </w:rPr>
        <w:t xml:space="preserve"> is that reuse LTE 4Rx values for the sub-1GHz band such as band 20 to keep the same performance for NR 4Rx, while the main reason for -2.2dB is that 0.5 relaxations considering the antenna difficult implementation for sub-1GHz band supporting 4Rx.</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Cs/>
          <w:color w:val="auto"/>
          <w:kern w:val="0"/>
          <w:sz w:val="20"/>
          <w:szCs w:val="20"/>
          <w:highlight w:val="none"/>
          <w:lang w:val="en-US" w:eastAsia="zh-CN"/>
        </w:rPr>
      </w:pPr>
      <w:r>
        <w:rPr>
          <w:rFonts w:hint="eastAsia"/>
          <w:color w:val="auto"/>
          <w:sz w:val="20"/>
          <w:szCs w:val="20"/>
          <w:lang w:val="en-US" w:eastAsia="zh-CN"/>
        </w:rPr>
        <w:t xml:space="preserve">In our understanding, REFSEN requirements are conductive requirement which will not be impacted by antenna design. Although </w:t>
      </w:r>
      <w:r>
        <w:rPr>
          <w:rFonts w:eastAsia="MS Mincho" w:cs="Arial"/>
          <w:b w:val="0"/>
          <w:bCs w:val="0"/>
          <w:i w:val="0"/>
          <w:iCs w:val="0"/>
          <w:color w:val="auto"/>
          <w:sz w:val="20"/>
          <w:szCs w:val="20"/>
        </w:rPr>
        <w:t>Δ</w:t>
      </w:r>
      <w:r>
        <w:rPr>
          <w:rFonts w:hint="eastAsia"/>
          <w:b w:val="0"/>
          <w:color w:val="auto"/>
          <w:sz w:val="20"/>
          <w:u w:val="none"/>
        </w:rPr>
        <w:t>R</w:t>
      </w:r>
      <w:r>
        <w:rPr>
          <w:rFonts w:hint="eastAsia"/>
          <w:b w:val="0"/>
          <w:color w:val="auto"/>
          <w:sz w:val="20"/>
          <w:u w:val="none"/>
          <w:vertAlign w:val="subscript"/>
        </w:rPr>
        <w:t>IB,4R</w:t>
      </w:r>
      <w:r>
        <w:rPr>
          <w:rFonts w:hint="eastAsia"/>
          <w:b w:val="0"/>
          <w:color w:val="auto"/>
          <w:sz w:val="20"/>
          <w:u w:val="none"/>
          <w:vertAlign w:val="subscript"/>
          <w:lang w:val="en-US" w:eastAsia="zh-CN"/>
        </w:rPr>
        <w:t xml:space="preserve"> </w:t>
      </w:r>
      <w:r>
        <w:rPr>
          <w:rFonts w:hint="eastAsia"/>
          <w:color w:val="auto"/>
          <w:sz w:val="20"/>
          <w:szCs w:val="20"/>
          <w:lang w:val="en-US" w:eastAsia="zh-CN"/>
        </w:rPr>
        <w:t xml:space="preserve">requirements were usually compromise values, we still think </w:t>
      </w:r>
      <w:r>
        <w:rPr>
          <w:rFonts w:hint="eastAsia"/>
          <w:b w:val="0"/>
          <w:color w:val="auto"/>
          <w:sz w:val="20"/>
          <w:u w:val="none"/>
          <w:vertAlign w:val="baseline"/>
          <w:lang w:val="en-US" w:eastAsia="zh-CN"/>
        </w:rPr>
        <w:t xml:space="preserve">-2.7dB could be re-used for NR sub-1GHz </w:t>
      </w:r>
      <w:r>
        <w:rPr>
          <w:rFonts w:hint="eastAsia" w:eastAsia="宋体" w:cs="Times New Roman"/>
          <w:b w:val="0"/>
          <w:bCs w:val="0"/>
          <w:i w:val="0"/>
          <w:iCs w:val="0"/>
          <w:color w:val="auto"/>
          <w:sz w:val="20"/>
          <w:szCs w:val="20"/>
          <w:u w:val="none"/>
          <w:lang w:val="en-US" w:eastAsia="zh-CN"/>
        </w:rPr>
        <w:t>bands to support 4Rx antennas</w:t>
      </w:r>
      <w:r>
        <w:rPr>
          <w:rFonts w:hint="eastAsia" w:cs="Times New Roman"/>
          <w:b w:val="0"/>
          <w:bCs w:val="0"/>
          <w:i w:val="0"/>
          <w:iCs w:val="0"/>
          <w:color w:val="auto"/>
          <w:sz w:val="20"/>
          <w:szCs w:val="20"/>
          <w:u w:val="none"/>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eastAsia="宋体" w:cs="Arial"/>
          <w:b/>
          <w:bCs/>
          <w:i/>
          <w:iCs/>
          <w:color w:val="auto"/>
          <w:sz w:val="20"/>
          <w:szCs w:val="20"/>
          <w:lang w:val="en-US" w:eastAsia="zh-CN"/>
        </w:rPr>
      </w:pPr>
      <w:bookmarkStart w:id="25" w:name="OLE_LINK21"/>
      <w:bookmarkStart w:id="26" w:name="OLE_LINK11"/>
      <w:bookmarkStart w:id="27" w:name="OLE_LINK7"/>
      <w:r>
        <w:rPr>
          <w:rFonts w:hint="eastAsia" w:eastAsia="宋体" w:cs="Arial"/>
          <w:b/>
          <w:bCs/>
          <w:i/>
          <w:iCs/>
          <w:color w:val="auto"/>
          <w:sz w:val="20"/>
          <w:szCs w:val="20"/>
          <w:lang w:val="en-US" w:eastAsia="zh-CN"/>
        </w:rPr>
        <w:t xml:space="preserve">Proposal: </w:t>
      </w:r>
      <w:bookmarkEnd w:id="25"/>
      <w:r>
        <w:rPr>
          <w:rFonts w:hint="eastAsia" w:eastAsia="宋体" w:cs="Arial"/>
          <w:b/>
          <w:bCs/>
          <w:i/>
          <w:iCs/>
          <w:color w:val="auto"/>
          <w:sz w:val="20"/>
          <w:szCs w:val="20"/>
          <w:lang w:val="en-US" w:eastAsia="zh-CN"/>
        </w:rPr>
        <w:t>-2.7dB</w:t>
      </w:r>
      <w:r>
        <w:rPr>
          <w:rFonts w:hint="eastAsia" w:cs="Arial"/>
          <w:b/>
          <w:bCs/>
          <w:i/>
          <w:iCs/>
          <w:color w:val="auto"/>
          <w:sz w:val="20"/>
          <w:szCs w:val="20"/>
          <w:lang w:val="en-US" w:eastAsia="zh-CN"/>
        </w:rPr>
        <w:t xml:space="preserve"> could be reused for</w:t>
      </w:r>
      <w:r>
        <w:rPr>
          <w:rFonts w:hint="eastAsia" w:eastAsia="宋体" w:cs="Arial"/>
          <w:b/>
          <w:bCs/>
          <w:i/>
          <w:iCs/>
          <w:color w:val="auto"/>
          <w:sz w:val="20"/>
          <w:szCs w:val="20"/>
          <w:lang w:val="en-US" w:eastAsia="zh-CN"/>
        </w:rPr>
        <w:t xml:space="preserve"> NR sub-1GHz bands support</w:t>
      </w:r>
      <w:r>
        <w:rPr>
          <w:rFonts w:hint="eastAsia" w:cs="Arial"/>
          <w:b/>
          <w:bCs/>
          <w:i/>
          <w:iCs/>
          <w:color w:val="auto"/>
          <w:sz w:val="20"/>
          <w:szCs w:val="20"/>
          <w:lang w:val="en-US" w:eastAsia="zh-CN"/>
        </w:rPr>
        <w:t>ing</w:t>
      </w:r>
      <w:r>
        <w:rPr>
          <w:rFonts w:hint="eastAsia" w:eastAsia="宋体" w:cs="Arial"/>
          <w:b/>
          <w:bCs/>
          <w:i/>
          <w:iCs/>
          <w:color w:val="auto"/>
          <w:sz w:val="20"/>
          <w:szCs w:val="20"/>
          <w:lang w:val="en-US" w:eastAsia="zh-CN"/>
        </w:rPr>
        <w:t xml:space="preserve"> 4Rx antennas for handheld UE</w:t>
      </w:r>
      <w:r>
        <w:rPr>
          <w:rFonts w:hint="eastAsia" w:cs="Arial"/>
          <w:b/>
          <w:bCs/>
          <w:i/>
          <w:iCs/>
          <w:color w:val="auto"/>
          <w:sz w:val="20"/>
          <w:szCs w:val="20"/>
          <w:lang w:val="en-US" w:eastAsia="zh-CN"/>
        </w:rPr>
        <w:t xml:space="preserve">(i.e. </w:t>
      </w:r>
      <w:r>
        <w:rPr>
          <w:rFonts w:eastAsia="MS Mincho" w:cs="Arial"/>
          <w:b/>
          <w:bCs/>
          <w:i/>
          <w:iCs/>
          <w:color w:val="auto"/>
          <w:sz w:val="20"/>
          <w:szCs w:val="20"/>
        </w:rPr>
        <w:t>ΔR</w:t>
      </w:r>
      <w:r>
        <w:rPr>
          <w:rFonts w:eastAsia="MS Mincho" w:cs="Arial"/>
          <w:b/>
          <w:bCs/>
          <w:i/>
          <w:iCs/>
          <w:color w:val="auto"/>
          <w:sz w:val="20"/>
          <w:szCs w:val="20"/>
          <w:vertAlign w:val="subscript"/>
        </w:rPr>
        <w:t xml:space="preserve">IB,4R </w:t>
      </w:r>
      <w:r>
        <w:rPr>
          <w:rFonts w:hint="eastAsia" w:eastAsia="宋体" w:cs="Arial"/>
          <w:b/>
          <w:bCs/>
          <w:i/>
          <w:iCs/>
          <w:color w:val="auto"/>
          <w:sz w:val="20"/>
          <w:szCs w:val="20"/>
          <w:vertAlign w:val="baseline"/>
          <w:lang w:val="en-US" w:eastAsia="zh-CN"/>
        </w:rPr>
        <w:t>requirement</w:t>
      </w:r>
      <w:r>
        <w:rPr>
          <w:rFonts w:hint="eastAsia" w:cs="Arial"/>
          <w:b/>
          <w:bCs/>
          <w:i/>
          <w:iCs/>
          <w:color w:val="auto"/>
          <w:sz w:val="20"/>
          <w:szCs w:val="20"/>
          <w:lang w:val="en-US" w:eastAsia="zh-CN"/>
        </w:rPr>
        <w:t>)</w:t>
      </w:r>
      <w:r>
        <w:rPr>
          <w:rFonts w:hint="eastAsia" w:eastAsia="宋体" w:cs="Arial"/>
          <w:b/>
          <w:bCs/>
          <w:i/>
          <w:iCs/>
          <w:color w:val="auto"/>
          <w:sz w:val="20"/>
          <w:szCs w:val="20"/>
          <w:lang w:val="en-US" w:eastAsia="zh-CN"/>
        </w:rPr>
        <w:t>.</w:t>
      </w:r>
    </w:p>
    <w:p>
      <w:pPr>
        <w:keepNext/>
        <w:keepLines/>
        <w:pageBreakBefore w:val="0"/>
        <w:kinsoku/>
        <w:wordWrap/>
        <w:topLinePunct w:val="0"/>
        <w:bidi w:val="0"/>
        <w:snapToGrid/>
        <w:rPr>
          <w:rFonts w:hint="default"/>
          <w:color w:val="auto"/>
          <w:sz w:val="20"/>
          <w:szCs w:val="20"/>
          <w:lang w:val="en-US" w:eastAsia="zh-CN"/>
        </w:rPr>
      </w:pPr>
      <w:r>
        <w:rPr>
          <w:rFonts w:hint="eastAsia"/>
          <w:color w:val="auto"/>
          <w:sz w:val="20"/>
          <w:szCs w:val="20"/>
          <w:lang w:val="en-US" w:eastAsia="zh-CN"/>
        </w:rPr>
        <w:t xml:space="preserve">For how to </w:t>
      </w:r>
      <w:r>
        <w:rPr>
          <w:rFonts w:hint="eastAsia"/>
          <w:color w:val="auto"/>
          <w:sz w:val="20"/>
          <w:szCs w:val="20"/>
          <w:lang w:val="en-US" w:eastAsia="ko-KR"/>
        </w:rPr>
        <w:t>specify requirements for handheld UE low band 4Rx (&lt;1GHz)</w:t>
      </w:r>
      <w:r>
        <w:rPr>
          <w:rFonts w:hint="eastAsia"/>
          <w:color w:val="auto"/>
          <w:sz w:val="20"/>
          <w:szCs w:val="20"/>
          <w:lang w:val="en-US" w:eastAsia="zh-CN"/>
        </w:rPr>
        <w:t>, the correction in the WF may cause misunderstanding since it may imply that the listed bands supported 4Rx are applied to both FWA UE and handheld UE, or it may imply that the pre-condition for a band supports 4Rx operation for handheld UE is that this band supports 4Rx operation for FWA UE.</w:t>
      </w:r>
    </w:p>
    <w:p>
      <w:pPr>
        <w:keepNext/>
        <w:keepLines/>
        <w:pageBreakBefore w:val="0"/>
        <w:kinsoku/>
        <w:wordWrap/>
        <w:topLinePunct w:val="0"/>
        <w:bidi w:val="0"/>
        <w:snapToGrid/>
        <w:rPr>
          <w:rFonts w:hint="eastAsia"/>
          <w:color w:val="auto"/>
          <w:sz w:val="20"/>
          <w:szCs w:val="20"/>
          <w:lang w:val="en-US" w:eastAsia="zh-CN"/>
        </w:rPr>
      </w:pPr>
      <w:r>
        <w:rPr>
          <w:rFonts w:hint="eastAsia"/>
          <w:color w:val="auto"/>
          <w:sz w:val="20"/>
          <w:szCs w:val="20"/>
          <w:lang w:val="en-US" w:eastAsia="zh-CN"/>
        </w:rPr>
        <w:t>However, there are two WIDs related to 4Rx [1][4] for sub-1GHz band supporting 4Rx, in which [4] is for FWA and [1] is for handheld UE. However, currently the requested</w:t>
      </w:r>
      <w:bookmarkStart w:id="28" w:name="OLE_LINK20"/>
      <w:r>
        <w:rPr>
          <w:rFonts w:hint="eastAsia"/>
          <w:color w:val="auto"/>
          <w:sz w:val="20"/>
          <w:szCs w:val="20"/>
          <w:lang w:val="en-US" w:eastAsia="zh-CN"/>
        </w:rPr>
        <w:t xml:space="preserve"> sub-1GHz bands</w:t>
      </w:r>
      <w:bookmarkEnd w:id="28"/>
      <w:r>
        <w:rPr>
          <w:rFonts w:hint="eastAsia"/>
          <w:color w:val="auto"/>
          <w:sz w:val="20"/>
          <w:szCs w:val="20"/>
          <w:lang w:val="en-US" w:eastAsia="zh-CN"/>
        </w:rPr>
        <w:t xml:space="preserve"> in these two separated are different which means  sub-1GHz band supports 4Rx may only be for handheld UE, rather than FWA UE, which is shown in table 1. </w:t>
      </w:r>
    </w:p>
    <w:p>
      <w:pPr>
        <w:keepNext/>
        <w:keepLines/>
        <w:pageBreakBefore w:val="0"/>
        <w:kinsoku/>
        <w:wordWrap/>
        <w:topLinePunct w:val="0"/>
        <w:bidi w:val="0"/>
        <w:snapToGrid/>
        <w:jc w:val="center"/>
        <w:rPr>
          <w:rFonts w:hint="default"/>
          <w:color w:val="auto"/>
          <w:sz w:val="20"/>
          <w:szCs w:val="20"/>
          <w:lang w:val="en-US" w:eastAsia="zh-CN"/>
        </w:rPr>
      </w:pPr>
      <w:r>
        <w:rPr>
          <w:rFonts w:hint="eastAsia"/>
          <w:color w:val="auto"/>
          <w:sz w:val="20"/>
          <w:szCs w:val="20"/>
          <w:lang w:val="en-US" w:eastAsia="zh-CN"/>
        </w:rPr>
        <w:t xml:space="preserve">Table 1. The requested </w:t>
      </w:r>
      <w:r>
        <w:rPr>
          <w:rFonts w:hint="eastAsia"/>
          <w:color w:val="auto"/>
          <w:sz w:val="20"/>
          <w:szCs w:val="20"/>
          <w:vertAlign w:val="baseline"/>
          <w:lang w:val="en-US" w:eastAsia="zh-CN"/>
        </w:rPr>
        <w:t>sub-1GHz bands in current 4Rx WIDs[1][4].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keepNext/>
              <w:keepLines/>
              <w:pageBreakBefore w:val="0"/>
              <w:kinsoku/>
              <w:wordWrap/>
              <w:overflowPunct w:val="0"/>
              <w:topLinePunct w:val="0"/>
              <w:autoSpaceDE w:val="0"/>
              <w:autoSpaceDN w:val="0"/>
              <w:bidi w:val="0"/>
              <w:adjustRightInd w:val="0"/>
              <w:snapToGrid/>
              <w:spacing w:after="180"/>
              <w:textAlignment w:val="baseline"/>
              <w:rPr>
                <w:rFonts w:hint="eastAsia"/>
                <w:color w:val="auto"/>
                <w:sz w:val="20"/>
                <w:szCs w:val="20"/>
                <w:vertAlign w:val="baseline"/>
                <w:lang w:val="en-US" w:eastAsia="zh-CN"/>
              </w:rPr>
            </w:pPr>
          </w:p>
        </w:tc>
        <w:tc>
          <w:tcPr>
            <w:tcW w:w="3292" w:type="dxa"/>
          </w:tcPr>
          <w:p>
            <w:pPr>
              <w:keepNext/>
              <w:keepLines/>
              <w:pageBreakBefore w:val="0"/>
              <w:kinsoku/>
              <w:wordWrap/>
              <w:overflowPunct w:val="0"/>
              <w:topLinePunct w:val="0"/>
              <w:autoSpaceDE w:val="0"/>
              <w:autoSpaceDN w:val="0"/>
              <w:bidi w:val="0"/>
              <w:adjustRightInd w:val="0"/>
              <w:snapToGrid/>
              <w:spacing w:after="180"/>
              <w:textAlignment w:val="baseline"/>
              <w:rPr>
                <w:rFonts w:hint="default"/>
                <w:color w:val="auto"/>
                <w:sz w:val="20"/>
                <w:szCs w:val="20"/>
                <w:vertAlign w:val="baseline"/>
                <w:lang w:val="en-US" w:eastAsia="zh-CN"/>
              </w:rPr>
            </w:pPr>
            <w:r>
              <w:rPr>
                <w:rFonts w:hint="default"/>
                <w:color w:val="auto"/>
                <w:sz w:val="20"/>
                <w:szCs w:val="20"/>
                <w:lang w:val="en-US" w:eastAsia="zh-CN"/>
              </w:rPr>
              <w:t>RP-231119</w:t>
            </w:r>
            <w:r>
              <w:rPr>
                <w:rFonts w:hint="eastAsia"/>
                <w:color w:val="auto"/>
                <w:sz w:val="20"/>
                <w:szCs w:val="20"/>
                <w:lang w:val="en-US" w:eastAsia="zh-CN"/>
              </w:rPr>
              <w:t xml:space="preserve"> [4] for FWA UE</w:t>
            </w:r>
          </w:p>
        </w:tc>
        <w:tc>
          <w:tcPr>
            <w:tcW w:w="3292" w:type="dxa"/>
          </w:tcPr>
          <w:p>
            <w:pPr>
              <w:keepNext/>
              <w:keepLines/>
              <w:pageBreakBefore w:val="0"/>
              <w:kinsoku/>
              <w:wordWrap/>
              <w:overflowPunct w:val="0"/>
              <w:topLinePunct w:val="0"/>
              <w:autoSpaceDE w:val="0"/>
              <w:autoSpaceDN w:val="0"/>
              <w:bidi w:val="0"/>
              <w:adjustRightInd w:val="0"/>
              <w:snapToGrid/>
              <w:spacing w:after="180"/>
              <w:textAlignment w:val="baseline"/>
              <w:rPr>
                <w:rFonts w:hint="default"/>
                <w:color w:val="auto"/>
                <w:sz w:val="20"/>
                <w:szCs w:val="20"/>
                <w:vertAlign w:val="baseline"/>
                <w:lang w:val="en-US" w:eastAsia="zh-CN"/>
              </w:rPr>
            </w:pPr>
            <w:r>
              <w:rPr>
                <w:rFonts w:hint="default"/>
                <w:color w:val="auto"/>
                <w:sz w:val="20"/>
                <w:szCs w:val="20"/>
                <w:lang w:val="en-US" w:eastAsia="zh-CN"/>
              </w:rPr>
              <w:t>RP-231013</w:t>
            </w:r>
            <w:r>
              <w:rPr>
                <w:rFonts w:hint="eastAsia"/>
                <w:color w:val="auto"/>
                <w:sz w:val="20"/>
                <w:szCs w:val="20"/>
                <w:lang w:val="en-US" w:eastAsia="zh-CN"/>
              </w:rPr>
              <w:t xml:space="preserve"> [1] for handheld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keepNext/>
              <w:keepLines/>
              <w:pageBreakBefore w:val="0"/>
              <w:kinsoku/>
              <w:wordWrap/>
              <w:overflowPunct w:val="0"/>
              <w:topLinePunct w:val="0"/>
              <w:autoSpaceDE w:val="0"/>
              <w:autoSpaceDN w:val="0"/>
              <w:bidi w:val="0"/>
              <w:adjustRightInd w:val="0"/>
              <w:snapToGrid/>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Requested sub-1GHz bands</w:t>
            </w:r>
          </w:p>
        </w:tc>
        <w:tc>
          <w:tcPr>
            <w:tcW w:w="3292" w:type="dxa"/>
          </w:tcPr>
          <w:p>
            <w:pPr>
              <w:keepNext/>
              <w:keepLines/>
              <w:pageBreakBefore w:val="0"/>
              <w:kinsoku/>
              <w:wordWrap/>
              <w:overflowPunct w:val="0"/>
              <w:topLinePunct w:val="0"/>
              <w:autoSpaceDE w:val="0"/>
              <w:autoSpaceDN w:val="0"/>
              <w:bidi w:val="0"/>
              <w:adjustRightInd w:val="0"/>
              <w:snapToGrid/>
              <w:spacing w:after="180"/>
              <w:textAlignment w:val="baseline"/>
              <w:rPr>
                <w:rFonts w:hint="default"/>
                <w:color w:val="auto"/>
                <w:sz w:val="20"/>
                <w:szCs w:val="20"/>
                <w:vertAlign w:val="baseline"/>
                <w:lang w:val="en-US" w:eastAsia="zh-CN"/>
              </w:rPr>
            </w:pPr>
            <w:r>
              <w:rPr>
                <w:rFonts w:hint="eastAsia"/>
                <w:color w:val="auto"/>
                <w:sz w:val="20"/>
                <w:szCs w:val="20"/>
                <w:highlight w:val="none"/>
                <w:vertAlign w:val="baseline"/>
                <w:lang w:val="en-US" w:eastAsia="zh-CN"/>
              </w:rPr>
              <w:t>n5</w:t>
            </w:r>
            <w:r>
              <w:rPr>
                <w:rFonts w:hint="eastAsia"/>
                <w:color w:val="auto"/>
                <w:sz w:val="20"/>
                <w:szCs w:val="20"/>
                <w:vertAlign w:val="baseline"/>
                <w:lang w:val="en-US" w:eastAsia="zh-CN"/>
              </w:rPr>
              <w:t xml:space="preserve">, n13, </w:t>
            </w:r>
            <w:r>
              <w:rPr>
                <w:rFonts w:hint="eastAsia"/>
                <w:color w:val="auto"/>
                <w:sz w:val="20"/>
                <w:szCs w:val="20"/>
                <w:highlight w:val="yellow"/>
                <w:vertAlign w:val="baseline"/>
                <w:lang w:val="en-US" w:eastAsia="zh-CN"/>
              </w:rPr>
              <w:t>n26</w:t>
            </w:r>
            <w:r>
              <w:rPr>
                <w:rFonts w:hint="eastAsia"/>
                <w:color w:val="auto"/>
                <w:sz w:val="20"/>
                <w:szCs w:val="20"/>
                <w:vertAlign w:val="baseline"/>
                <w:lang w:val="en-US" w:eastAsia="zh-CN"/>
              </w:rPr>
              <w:t>, n85</w:t>
            </w:r>
          </w:p>
        </w:tc>
        <w:tc>
          <w:tcPr>
            <w:tcW w:w="3292" w:type="dxa"/>
          </w:tcPr>
          <w:p>
            <w:pPr>
              <w:keepNext/>
              <w:keepLines/>
              <w:pageBreakBefore w:val="0"/>
              <w:kinsoku/>
              <w:wordWrap/>
              <w:overflowPunct w:val="0"/>
              <w:topLinePunct w:val="0"/>
              <w:autoSpaceDE w:val="0"/>
              <w:autoSpaceDN w:val="0"/>
              <w:bidi w:val="0"/>
              <w:adjustRightInd w:val="0"/>
              <w:snapToGrid/>
              <w:spacing w:after="180"/>
              <w:textAlignment w:val="baseline"/>
              <w:rPr>
                <w:rFonts w:hint="eastAsia"/>
                <w:color w:val="auto"/>
                <w:sz w:val="20"/>
                <w:szCs w:val="20"/>
                <w:vertAlign w:val="baseline"/>
                <w:lang w:val="en-US" w:eastAsia="zh-CN"/>
              </w:rPr>
            </w:pPr>
            <w:r>
              <w:rPr>
                <w:highlight w:val="yellow"/>
                <w:lang w:eastAsia="zh-CN"/>
              </w:rPr>
              <w:t>n28</w:t>
            </w:r>
            <w:r>
              <w:rPr>
                <w:rFonts w:hint="eastAsia"/>
                <w:lang w:val="en-US" w:eastAsia="zh-CN"/>
              </w:rPr>
              <w:t xml:space="preserve">, </w:t>
            </w:r>
            <w:r>
              <w:rPr>
                <w:highlight w:val="red"/>
                <w:lang w:eastAsia="zh-CN"/>
              </w:rPr>
              <w:t>n20</w:t>
            </w:r>
            <w:r>
              <w:rPr>
                <w:rFonts w:hint="eastAsia"/>
                <w:lang w:val="en-US" w:eastAsia="zh-CN"/>
              </w:rPr>
              <w:t xml:space="preserve">, </w:t>
            </w:r>
            <w:r>
              <w:rPr>
                <w:highlight w:val="yellow"/>
                <w:lang w:eastAsia="zh-CN"/>
              </w:rPr>
              <w:t>n8</w:t>
            </w:r>
            <w:r>
              <w:rPr>
                <w:rFonts w:hint="eastAsia"/>
                <w:highlight w:val="yellow"/>
                <w:lang w:val="en-US" w:eastAsia="zh-CN"/>
              </w:rPr>
              <w:t xml:space="preserve">, </w:t>
            </w:r>
            <w:r>
              <w:rPr>
                <w:highlight w:val="yellow"/>
                <w:lang w:eastAsia="zh-CN"/>
              </w:rPr>
              <w:t>n5</w:t>
            </w:r>
            <w:r>
              <w:rPr>
                <w:rFonts w:hint="eastAsia"/>
                <w:lang w:val="en-US" w:eastAsia="zh-CN"/>
              </w:rPr>
              <w:t xml:space="preserve">, </w:t>
            </w:r>
            <w:r>
              <w:rPr>
                <w:highlight w:val="yellow"/>
                <w:lang w:eastAsia="zh-CN"/>
              </w:rPr>
              <w:t>n26</w:t>
            </w:r>
            <w:r>
              <w:rPr>
                <w:rFonts w:hint="eastAsia"/>
                <w:lang w:val="en-US" w:eastAsia="zh-CN"/>
              </w:rPr>
              <w:t xml:space="preserve">, </w:t>
            </w:r>
            <w:r>
              <w:rPr>
                <w:highlight w:val="yellow"/>
                <w:lang w:eastAsia="zh-CN"/>
              </w:rPr>
              <w:t>n71</w:t>
            </w:r>
          </w:p>
        </w:tc>
      </w:tr>
    </w:tbl>
    <w:p>
      <w:pPr>
        <w:keepNext/>
        <w:keepLines/>
        <w:pageBreakBefore w:val="0"/>
        <w:widowControl/>
        <w:suppressLineNumbers w:val="0"/>
        <w:kinsoku/>
        <w:wordWrap/>
        <w:topLinePunct w:val="0"/>
        <w:bidi w:val="0"/>
        <w:snapToGrid/>
        <w:jc w:val="left"/>
        <w:rPr>
          <w:rFonts w:hint="eastAsia"/>
          <w:color w:val="auto"/>
          <w:sz w:val="20"/>
        </w:rPr>
      </w:pPr>
      <w:r>
        <w:rPr>
          <w:rFonts w:hint="eastAsia"/>
          <w:color w:val="auto"/>
          <w:sz w:val="20"/>
          <w:szCs w:val="20"/>
          <w:lang w:val="en-US" w:eastAsia="zh-CN"/>
        </w:rPr>
        <w:t xml:space="preserve">In addition, the sub-1GHz bands support 4Rx targeted for FWA form factor in the spec are: </w:t>
      </w:r>
      <w:r>
        <w:rPr>
          <w:rFonts w:hint="eastAsia" w:ascii="Times New Roman" w:hAnsi="Times New Roman" w:eastAsia="宋体" w:cs="Times New Roman"/>
          <w:color w:val="auto"/>
          <w:kern w:val="2"/>
          <w:sz w:val="20"/>
          <w:szCs w:val="20"/>
          <w:highlight w:val="yellow"/>
          <w:lang w:val="en-US" w:eastAsia="zh-CN" w:bidi="ar"/>
        </w:rPr>
        <w:t>n5, n8, n28, n71</w:t>
      </w:r>
      <w:r>
        <w:rPr>
          <w:rFonts w:hint="eastAsia" w:ascii="Times New Roman" w:hAnsi="Times New Roman" w:eastAsia="宋体" w:cs="Times New Roman"/>
          <w:color w:val="auto"/>
          <w:kern w:val="2"/>
          <w:sz w:val="20"/>
          <w:szCs w:val="20"/>
          <w:lang w:val="en-US" w:eastAsia="zh-CN" w:bidi="ar"/>
        </w:rPr>
        <w:t>, n85, n105</w:t>
      </w:r>
    </w:p>
    <w:p>
      <w:pPr>
        <w:keepNext/>
        <w:keepLines/>
        <w:pageBreakBefore w:val="0"/>
        <w:widowControl/>
        <w:suppressLineNumbers w:val="0"/>
        <w:kinsoku/>
        <w:wordWrap/>
        <w:topLinePunct w:val="0"/>
        <w:bidi w:val="0"/>
        <w:snapToGrid/>
        <w:jc w:val="left"/>
        <w:rPr>
          <w:rFonts w:hint="default"/>
          <w:color w:val="auto"/>
          <w:sz w:val="20"/>
          <w:szCs w:val="20"/>
          <w:lang w:val="en-US" w:eastAsia="zh-CN"/>
        </w:rPr>
      </w:pPr>
      <w:r>
        <w:rPr>
          <w:rFonts w:hint="eastAsia"/>
          <w:color w:val="auto"/>
          <w:sz w:val="20"/>
          <w:szCs w:val="20"/>
          <w:lang w:val="en-US" w:eastAsia="zh-CN"/>
        </w:rPr>
        <w:t xml:space="preserve">In table 1, it can be seen that n20 is requested in [1] but not in [4], also this band is not included in the </w:t>
      </w:r>
      <w:r>
        <w:rPr>
          <w:rFonts w:hint="default"/>
          <w:color w:val="auto"/>
          <w:sz w:val="20"/>
          <w:szCs w:val="20"/>
          <w:lang w:val="en-US" w:eastAsia="zh-CN"/>
        </w:rPr>
        <w:t>ΔR</w:t>
      </w:r>
      <w:r>
        <w:rPr>
          <w:rFonts w:hint="default"/>
          <w:color w:val="auto"/>
          <w:sz w:val="20"/>
          <w:szCs w:val="20"/>
          <w:vertAlign w:val="subscript"/>
          <w:lang w:val="en-US" w:eastAsia="zh-CN"/>
        </w:rPr>
        <w:t>IB,4R</w:t>
      </w:r>
      <w:r>
        <w:rPr>
          <w:rFonts w:hint="eastAsia"/>
          <w:color w:val="auto"/>
          <w:sz w:val="20"/>
          <w:szCs w:val="20"/>
          <w:lang w:val="en-US" w:eastAsia="zh-CN"/>
        </w:rPr>
        <w:t xml:space="preserve"> table to be targeted for FWA form factor in the spec.</w:t>
      </w:r>
    </w:p>
    <w:p>
      <w:pPr>
        <w:keepNext/>
        <w:keepLines/>
        <w:pageBreakBefore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cs="Arial"/>
          <w:b/>
          <w:bCs/>
          <w:i/>
          <w:iCs/>
          <w:color w:val="auto"/>
          <w:sz w:val="20"/>
          <w:szCs w:val="20"/>
          <w:lang w:val="en-US" w:eastAsia="zh-CN"/>
        </w:rPr>
      </w:pPr>
      <w:bookmarkStart w:id="29" w:name="OLE_LINK22"/>
      <w:r>
        <w:rPr>
          <w:rFonts w:hint="eastAsia" w:cs="Arial"/>
          <w:b/>
          <w:bCs/>
          <w:i/>
          <w:iCs/>
          <w:color w:val="auto"/>
          <w:sz w:val="20"/>
          <w:szCs w:val="20"/>
          <w:lang w:val="en-US" w:eastAsia="zh-CN"/>
        </w:rPr>
        <w:t>Observation. Currently, the requested sub-1GHz bands supports 4Rx in the two separated WIDs are different which imply the sub-1GHz band may only be for handheld UE.</w:t>
      </w:r>
    </w:p>
    <w:bookmarkEnd w:id="29"/>
    <w:p>
      <w:pPr>
        <w:keepNext/>
        <w:keepLines/>
        <w:pageBreakBefore w:val="0"/>
        <w:kinsoku/>
        <w:wordWrap/>
        <w:topLinePunct w:val="0"/>
        <w:bidi w:val="0"/>
        <w:snapToGrid/>
        <w:rPr>
          <w:rFonts w:hint="eastAsia"/>
          <w:color w:val="auto"/>
          <w:sz w:val="20"/>
          <w:szCs w:val="20"/>
          <w:lang w:val="en-US" w:eastAsia="zh-CN"/>
        </w:rPr>
      </w:pPr>
      <w:r>
        <w:rPr>
          <w:rFonts w:hint="eastAsia"/>
          <w:color w:val="auto"/>
          <w:sz w:val="20"/>
          <w:szCs w:val="20"/>
          <w:lang w:val="en-US" w:eastAsia="zh-CN"/>
        </w:rPr>
        <w:t>Therefore, for a certain sub-1GHz band, it may exist following use cases for 4Rx operation is:</w:t>
      </w:r>
    </w:p>
    <w:p>
      <w:pPr>
        <w:keepNext/>
        <w:keepLines/>
        <w:pageBreakBefore w:val="0"/>
        <w:kinsoku/>
        <w:wordWrap/>
        <w:topLinePunct w:val="0"/>
        <w:bidi w:val="0"/>
        <w:snapToGrid/>
        <w:rPr>
          <w:rFonts w:hint="eastAsia"/>
          <w:color w:val="auto"/>
          <w:sz w:val="20"/>
          <w:szCs w:val="20"/>
          <w:lang w:val="en-US" w:eastAsia="zh-CN"/>
        </w:rPr>
      </w:pPr>
      <w:r>
        <w:rPr>
          <w:rFonts w:hint="eastAsia"/>
          <w:color w:val="auto"/>
          <w:sz w:val="20"/>
          <w:szCs w:val="20"/>
          <w:lang w:val="en-US" w:eastAsia="zh-CN"/>
        </w:rPr>
        <w:t xml:space="preserve">1. </w:t>
      </w:r>
      <w:bookmarkStart w:id="30" w:name="OLE_LINK29"/>
      <w:r>
        <w:rPr>
          <w:rFonts w:hint="default" w:ascii="Times New Roman" w:hAnsi="Times New Roman" w:cs="Times New Roman"/>
          <w:sz w:val="20"/>
          <w:szCs w:val="20"/>
        </w:rPr>
        <w:t>targeted for FWA form factor</w:t>
      </w:r>
      <w:bookmarkEnd w:id="30"/>
    </w:p>
    <w:p>
      <w:pPr>
        <w:keepNext/>
        <w:keepLines/>
        <w:pageBreakBefore w:val="0"/>
        <w:kinsoku/>
        <w:wordWrap/>
        <w:topLinePunct w:val="0"/>
        <w:bidi w:val="0"/>
        <w:snapToGrid/>
        <w:rPr>
          <w:rFonts w:hint="default" w:eastAsia="宋体"/>
          <w:color w:val="auto"/>
          <w:sz w:val="20"/>
          <w:szCs w:val="20"/>
          <w:lang w:val="en-US" w:eastAsia="zh-CN"/>
        </w:rPr>
      </w:pPr>
      <w:r>
        <w:rPr>
          <w:rFonts w:hint="eastAsia"/>
          <w:color w:val="auto"/>
          <w:sz w:val="20"/>
          <w:szCs w:val="20"/>
          <w:lang w:val="en-US" w:eastAsia="zh-CN"/>
        </w:rPr>
        <w:t xml:space="preserve">2. </w:t>
      </w:r>
      <w:bookmarkStart w:id="31" w:name="OLE_LINK19"/>
      <w:bookmarkStart w:id="32" w:name="OLE_LINK31"/>
      <w:r>
        <w:rPr>
          <w:rFonts w:hint="default" w:ascii="Times New Roman" w:hAnsi="Times New Roman" w:cs="Times New Roman"/>
          <w:sz w:val="20"/>
          <w:szCs w:val="20"/>
        </w:rPr>
        <w:t>targeted for</w:t>
      </w:r>
      <w:bookmarkEnd w:id="31"/>
      <w:r>
        <w:rPr>
          <w:rFonts w:hint="default" w:ascii="Times New Roman" w:hAnsi="Times New Roman" w:cs="Times New Roman"/>
          <w:sz w:val="20"/>
          <w:szCs w:val="20"/>
        </w:rPr>
        <w:t xml:space="preserve"> </w:t>
      </w:r>
      <w:r>
        <w:rPr>
          <w:rFonts w:hint="eastAsia" w:cs="Times New Roman"/>
          <w:sz w:val="20"/>
          <w:szCs w:val="20"/>
          <w:lang w:val="en-US" w:eastAsia="zh-CN"/>
        </w:rPr>
        <w:t>handheld UE</w:t>
      </w:r>
      <w:bookmarkEnd w:id="32"/>
    </w:p>
    <w:p>
      <w:pPr>
        <w:keepNext/>
        <w:keepLines/>
        <w:pageBreakBefore w:val="0"/>
        <w:kinsoku/>
        <w:wordWrap/>
        <w:topLinePunct w:val="0"/>
        <w:bidi w:val="0"/>
        <w:snapToGrid/>
        <w:rPr>
          <w:rFonts w:hint="eastAsia" w:eastAsia="宋体"/>
          <w:color w:val="auto"/>
          <w:sz w:val="20"/>
          <w:szCs w:val="20"/>
          <w:lang w:val="en-US" w:eastAsia="zh-CN"/>
        </w:rPr>
      </w:pPr>
      <w:r>
        <w:rPr>
          <w:rFonts w:hint="eastAsia"/>
          <w:color w:val="auto"/>
          <w:sz w:val="20"/>
          <w:szCs w:val="20"/>
          <w:lang w:val="en-US" w:eastAsia="zh-CN"/>
        </w:rPr>
        <w:t xml:space="preserve">3. </w:t>
      </w:r>
      <w:r>
        <w:rPr>
          <w:rFonts w:hint="default" w:ascii="Times New Roman" w:hAnsi="Times New Roman" w:cs="Times New Roman"/>
          <w:sz w:val="20"/>
          <w:szCs w:val="20"/>
        </w:rPr>
        <w:t>targeted for FWA form factor</w:t>
      </w:r>
      <w:r>
        <w:rPr>
          <w:rFonts w:hint="eastAsia" w:cs="Times New Roman"/>
          <w:sz w:val="20"/>
          <w:szCs w:val="20"/>
          <w:lang w:val="en-US" w:eastAsia="zh-CN"/>
        </w:rPr>
        <w:t xml:space="preserve"> </w:t>
      </w:r>
      <w:r>
        <w:rPr>
          <w:rFonts w:hint="eastAsia"/>
          <w:color w:val="auto"/>
          <w:sz w:val="20"/>
          <w:szCs w:val="20"/>
          <w:lang w:val="en-US" w:eastAsia="zh-CN"/>
        </w:rPr>
        <w:t>and handheld UE</w:t>
      </w:r>
    </w:p>
    <w:p>
      <w:pPr>
        <w:keepNext/>
        <w:keepLines/>
        <w:pageBreakBefore w:val="0"/>
        <w:kinsoku/>
        <w:wordWrap/>
        <w:topLinePunct w:val="0"/>
        <w:bidi w:val="0"/>
        <w:snapToGrid/>
        <w:rPr>
          <w:rFonts w:hint="eastAsia"/>
          <w:color w:val="auto"/>
          <w:sz w:val="20"/>
          <w:szCs w:val="20"/>
          <w:lang w:val="en-US" w:eastAsia="zh-CN"/>
        </w:rPr>
      </w:pPr>
      <w:r>
        <w:rPr>
          <w:rFonts w:hint="eastAsia"/>
          <w:color w:val="auto"/>
          <w:sz w:val="20"/>
          <w:szCs w:val="20"/>
          <w:lang w:val="en-US" w:eastAsia="zh-CN"/>
        </w:rPr>
        <w:t xml:space="preserve">It seems the changes in the WF can cover bullet 1 and 3, but for bullet 2, it is vague but this case is existed according to the current situation. We take n20 for an example, if band n20 supports 4Rx is not requested for FWA form factor in future, then it must be only </w:t>
      </w:r>
      <w:r>
        <w:rPr>
          <w:rFonts w:hint="default" w:ascii="Times New Roman" w:hAnsi="Times New Roman" w:cs="Times New Roman"/>
          <w:sz w:val="20"/>
          <w:szCs w:val="20"/>
        </w:rPr>
        <w:t xml:space="preserve">targeted </w:t>
      </w:r>
      <w:r>
        <w:rPr>
          <w:rFonts w:hint="eastAsia"/>
          <w:color w:val="auto"/>
          <w:sz w:val="20"/>
          <w:szCs w:val="20"/>
          <w:lang w:val="en-US" w:eastAsia="zh-CN"/>
        </w:rPr>
        <w:t xml:space="preserve">for handheld UE. However, by using the </w:t>
      </w:r>
      <w:bookmarkStart w:id="33" w:name="OLE_LINK16"/>
      <w:r>
        <w:rPr>
          <w:rFonts w:hint="eastAsia"/>
          <w:color w:val="auto"/>
          <w:sz w:val="20"/>
          <w:szCs w:val="20"/>
          <w:lang w:val="en-US" w:eastAsia="zh-CN"/>
        </w:rPr>
        <w:t>changes in the WF</w:t>
      </w:r>
      <w:bookmarkEnd w:id="33"/>
      <w:r>
        <w:rPr>
          <w:rFonts w:hint="eastAsia"/>
          <w:color w:val="auto"/>
          <w:sz w:val="20"/>
          <w:szCs w:val="20"/>
          <w:lang w:val="en-US" w:eastAsia="zh-CN"/>
        </w:rPr>
        <w:t xml:space="preserve">, we may not know which band can be used in FWA form factor only, handheld UE only or both. So we propose: </w:t>
      </w:r>
    </w:p>
    <w:p>
      <w:pPr>
        <w:keepNext/>
        <w:keepLines/>
        <w:pageBreakBefore w:val="0"/>
        <w:kinsoku/>
        <w:wordWrap/>
        <w:topLinePunct w:val="0"/>
        <w:bidi w:val="0"/>
        <w:snapToGrid/>
        <w:rPr>
          <w:rFonts w:hint="eastAsia" w:eastAsia="宋体" w:cs="Arial"/>
          <w:b w:val="0"/>
          <w:bCs w:val="0"/>
          <w:i w:val="0"/>
          <w:iCs w:val="0"/>
          <w:color w:val="auto"/>
          <w:sz w:val="20"/>
          <w:szCs w:val="20"/>
          <w:lang w:val="en-US" w:eastAsia="zh-CN"/>
        </w:rPr>
      </w:pPr>
      <w:bookmarkStart w:id="34" w:name="OLE_LINK30"/>
      <w:r>
        <w:rPr>
          <w:rFonts w:hint="eastAsia" w:cs="Arial"/>
          <w:b/>
          <w:bCs/>
          <w:i/>
          <w:iCs/>
          <w:color w:val="auto"/>
          <w:sz w:val="20"/>
          <w:szCs w:val="20"/>
          <w:lang w:val="en-US" w:eastAsia="zh-CN"/>
        </w:rPr>
        <w:t xml:space="preserve">Proposal 2: To discuss whether to specific </w:t>
      </w:r>
      <w:r>
        <w:rPr>
          <w:rFonts w:hint="default" w:cs="Arial"/>
          <w:b/>
          <w:bCs/>
          <w:i/>
          <w:iCs/>
          <w:color w:val="auto"/>
          <w:sz w:val="20"/>
          <w:szCs w:val="20"/>
          <w:lang w:val="en-US" w:eastAsia="zh-CN"/>
        </w:rPr>
        <w:t>‘4 Rx operation</w:t>
      </w:r>
      <w:r>
        <w:rPr>
          <w:rFonts w:hint="eastAsia" w:cs="Arial"/>
          <w:b/>
          <w:bCs/>
          <w:i/>
          <w:iCs/>
          <w:color w:val="auto"/>
          <w:sz w:val="20"/>
          <w:szCs w:val="20"/>
          <w:lang w:val="en-US" w:eastAsia="zh-CN"/>
        </w:rPr>
        <w:t xml:space="preserve"> is </w:t>
      </w:r>
      <w:r>
        <w:rPr>
          <w:rFonts w:hint="default" w:cs="Arial"/>
          <w:b/>
          <w:bCs/>
          <w:i/>
          <w:iCs/>
          <w:color w:val="auto"/>
          <w:sz w:val="20"/>
          <w:szCs w:val="20"/>
          <w:lang w:val="en-US" w:eastAsia="zh-CN"/>
        </w:rPr>
        <w:t xml:space="preserve">targeted for </w:t>
      </w:r>
      <w:r>
        <w:rPr>
          <w:rFonts w:hint="eastAsia" w:cs="Arial"/>
          <w:b/>
          <w:bCs/>
          <w:i/>
          <w:iCs/>
          <w:color w:val="auto"/>
          <w:sz w:val="20"/>
          <w:szCs w:val="20"/>
          <w:lang w:val="en-US" w:eastAsia="zh-CN"/>
        </w:rPr>
        <w:t>handheld UE</w:t>
      </w:r>
      <w:r>
        <w:rPr>
          <w:rFonts w:hint="default" w:cs="Arial"/>
          <w:b/>
          <w:bCs/>
          <w:i/>
          <w:iCs/>
          <w:color w:val="auto"/>
          <w:sz w:val="20"/>
          <w:szCs w:val="20"/>
          <w:lang w:val="en-US" w:eastAsia="zh-CN"/>
        </w:rPr>
        <w:t>’</w:t>
      </w:r>
      <w:r>
        <w:rPr>
          <w:rFonts w:hint="eastAsia" w:cs="Arial"/>
          <w:b/>
          <w:bCs/>
          <w:i/>
          <w:iCs/>
          <w:color w:val="auto"/>
          <w:sz w:val="20"/>
          <w:szCs w:val="20"/>
          <w:lang w:val="en-US" w:eastAsia="zh-CN"/>
        </w:rPr>
        <w:t xml:space="preserve"> for band(s) in the (new) NOTE in the </w:t>
      </w:r>
      <w:r>
        <w:rPr>
          <w:rFonts w:hint="default" w:cs="Arial"/>
          <w:b/>
          <w:bCs/>
          <w:i/>
          <w:iCs/>
          <w:color w:val="auto"/>
          <w:sz w:val="20"/>
          <w:szCs w:val="20"/>
          <w:lang w:val="en-US" w:eastAsia="zh-CN"/>
        </w:rPr>
        <w:t>Table 7.3.2-2</w:t>
      </w:r>
      <w:r>
        <w:rPr>
          <w:rFonts w:hint="eastAsia" w:cs="Arial"/>
          <w:b/>
          <w:bCs/>
          <w:i/>
          <w:iCs/>
          <w:color w:val="auto"/>
          <w:sz w:val="20"/>
          <w:szCs w:val="20"/>
          <w:lang w:val="en-US" w:eastAsia="zh-CN"/>
        </w:rPr>
        <w:t>.</w:t>
      </w:r>
    </w:p>
    <w:bookmarkEnd w:id="34"/>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w:t>
      </w:r>
      <w:r>
        <w:rPr>
          <w:rFonts w:hint="eastAsia" w:cs="Times New Roman"/>
          <w:b w:val="0"/>
          <w:bCs w:val="0"/>
          <w:color w:val="auto"/>
          <w:kern w:val="0"/>
          <w:sz w:val="20"/>
          <w:szCs w:val="20"/>
          <w:highlight w:val="none"/>
          <w:lang w:val="en-US" w:eastAsia="zh-CN" w:bidi="ar-SA"/>
        </w:rPr>
        <w:t xml:space="preserve">further </w:t>
      </w:r>
      <w:r>
        <w:rPr>
          <w:rFonts w:hint="eastAsia" w:ascii="Times New Roman" w:hAnsi="Times New Roman" w:eastAsia="宋体" w:cs="Times New Roman"/>
          <w:b w:val="0"/>
          <w:bCs w:val="0"/>
          <w:color w:val="auto"/>
          <w:kern w:val="0"/>
          <w:sz w:val="20"/>
          <w:szCs w:val="20"/>
          <w:highlight w:val="none"/>
          <w:lang w:val="en-US" w:eastAsia="zh-CN" w:bidi="ar-SA"/>
        </w:rPr>
        <w:t xml:space="preserve">discussions on </w:t>
      </w:r>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4Rx antennas are supported in the low band (&lt;1GHz) for handheld UE</w:t>
      </w:r>
      <w:r>
        <w:rPr>
          <w:rFonts w:hint="eastAsia" w:eastAsia="宋体" w:cs="Times New Roman"/>
          <w:b w:val="0"/>
          <w:bCs w:val="0"/>
          <w:color w:val="auto"/>
          <w:kern w:val="0"/>
          <w:sz w:val="20"/>
          <w:szCs w:val="20"/>
          <w:highlight w:val="none"/>
          <w:lang w:val="en-US" w:eastAsia="zh-CN" w:bidi="ar-SA"/>
        </w:rPr>
        <w:t>.</w:t>
      </w:r>
      <w:r>
        <w:rPr>
          <w:rFonts w:hint="eastAsia" w:ascii="Times New Roman" w:hAnsi="Times New Roman" w:eastAsia="宋体" w:cs="Times New Roman"/>
          <w:b w:val="0"/>
          <w:bCs w:val="0"/>
          <w:color w:val="auto"/>
          <w:kern w:val="0"/>
          <w:sz w:val="20"/>
          <w:szCs w:val="20"/>
          <w:highlight w:val="none"/>
          <w:lang w:val="en-US" w:eastAsia="zh-CN" w:bidi="ar-SA"/>
        </w:rPr>
        <w:t xml:space="preserve"> The conclusions are: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eastAsia="宋体" w:cs="Arial"/>
          <w:b/>
          <w:bCs/>
          <w:i/>
          <w:iCs/>
          <w:color w:val="auto"/>
          <w:sz w:val="20"/>
          <w:szCs w:val="20"/>
          <w:lang w:val="en-US" w:eastAsia="zh-CN"/>
        </w:rPr>
      </w:pPr>
      <w:r>
        <w:rPr>
          <w:rFonts w:hint="eastAsia" w:eastAsia="宋体" w:cs="Arial"/>
          <w:b/>
          <w:bCs/>
          <w:i/>
          <w:iCs/>
          <w:color w:val="auto"/>
          <w:sz w:val="20"/>
          <w:szCs w:val="20"/>
          <w:lang w:val="en-US" w:eastAsia="zh-CN"/>
        </w:rPr>
        <w:t>Proposal</w:t>
      </w:r>
      <w:r>
        <w:rPr>
          <w:rFonts w:hint="eastAsia" w:cs="Arial"/>
          <w:b/>
          <w:bCs/>
          <w:i/>
          <w:iCs/>
          <w:color w:val="auto"/>
          <w:sz w:val="20"/>
          <w:szCs w:val="20"/>
          <w:lang w:val="en-US" w:eastAsia="zh-CN"/>
        </w:rPr>
        <w:t xml:space="preserve"> 1</w:t>
      </w:r>
      <w:r>
        <w:rPr>
          <w:rFonts w:hint="eastAsia" w:eastAsia="宋体" w:cs="Arial"/>
          <w:b/>
          <w:bCs/>
          <w:i/>
          <w:iCs/>
          <w:color w:val="auto"/>
          <w:sz w:val="20"/>
          <w:szCs w:val="20"/>
          <w:lang w:val="en-US" w:eastAsia="zh-CN"/>
        </w:rPr>
        <w:t>: -2.7dB</w:t>
      </w:r>
      <w:r>
        <w:rPr>
          <w:rFonts w:hint="eastAsia" w:cs="Arial"/>
          <w:b/>
          <w:bCs/>
          <w:i/>
          <w:iCs/>
          <w:color w:val="auto"/>
          <w:sz w:val="20"/>
          <w:szCs w:val="20"/>
          <w:lang w:val="en-US" w:eastAsia="zh-CN"/>
        </w:rPr>
        <w:t xml:space="preserve"> could be reused for</w:t>
      </w:r>
      <w:r>
        <w:rPr>
          <w:rFonts w:hint="eastAsia" w:eastAsia="宋体" w:cs="Arial"/>
          <w:b/>
          <w:bCs/>
          <w:i/>
          <w:iCs/>
          <w:color w:val="auto"/>
          <w:sz w:val="20"/>
          <w:szCs w:val="20"/>
          <w:lang w:val="en-US" w:eastAsia="zh-CN"/>
        </w:rPr>
        <w:t xml:space="preserve"> NR sub-1GHz bands support</w:t>
      </w:r>
      <w:r>
        <w:rPr>
          <w:rFonts w:hint="eastAsia" w:cs="Arial"/>
          <w:b/>
          <w:bCs/>
          <w:i/>
          <w:iCs/>
          <w:color w:val="auto"/>
          <w:sz w:val="20"/>
          <w:szCs w:val="20"/>
          <w:lang w:val="en-US" w:eastAsia="zh-CN"/>
        </w:rPr>
        <w:t>ing</w:t>
      </w:r>
      <w:r>
        <w:rPr>
          <w:rFonts w:hint="eastAsia" w:eastAsia="宋体" w:cs="Arial"/>
          <w:b/>
          <w:bCs/>
          <w:i/>
          <w:iCs/>
          <w:color w:val="auto"/>
          <w:sz w:val="20"/>
          <w:szCs w:val="20"/>
          <w:lang w:val="en-US" w:eastAsia="zh-CN"/>
        </w:rPr>
        <w:t xml:space="preserve"> 4Rx antennas for handheld UE</w:t>
      </w:r>
      <w:r>
        <w:rPr>
          <w:rFonts w:hint="eastAsia" w:cs="Arial"/>
          <w:b/>
          <w:bCs/>
          <w:i/>
          <w:iCs/>
          <w:color w:val="auto"/>
          <w:sz w:val="20"/>
          <w:szCs w:val="20"/>
          <w:lang w:val="en-US" w:eastAsia="zh-CN"/>
        </w:rPr>
        <w:t xml:space="preserve">(i.e. </w:t>
      </w:r>
      <w:r>
        <w:rPr>
          <w:rFonts w:eastAsia="MS Mincho" w:cs="Arial"/>
          <w:b/>
          <w:bCs/>
          <w:i/>
          <w:iCs/>
          <w:color w:val="auto"/>
          <w:sz w:val="20"/>
          <w:szCs w:val="20"/>
        </w:rPr>
        <w:t>ΔR</w:t>
      </w:r>
      <w:r>
        <w:rPr>
          <w:rFonts w:eastAsia="MS Mincho" w:cs="Arial"/>
          <w:b/>
          <w:bCs/>
          <w:i/>
          <w:iCs/>
          <w:color w:val="auto"/>
          <w:sz w:val="20"/>
          <w:szCs w:val="20"/>
          <w:vertAlign w:val="subscript"/>
        </w:rPr>
        <w:t xml:space="preserve">IB,4R </w:t>
      </w:r>
      <w:r>
        <w:rPr>
          <w:rFonts w:hint="eastAsia" w:eastAsia="宋体" w:cs="Arial"/>
          <w:b/>
          <w:bCs/>
          <w:i/>
          <w:iCs/>
          <w:color w:val="auto"/>
          <w:sz w:val="20"/>
          <w:szCs w:val="20"/>
          <w:vertAlign w:val="baseline"/>
          <w:lang w:val="en-US" w:eastAsia="zh-CN"/>
        </w:rPr>
        <w:t>requirement</w:t>
      </w:r>
      <w:r>
        <w:rPr>
          <w:rFonts w:hint="eastAsia" w:cs="Arial"/>
          <w:b/>
          <w:bCs/>
          <w:i/>
          <w:iCs/>
          <w:color w:val="auto"/>
          <w:sz w:val="20"/>
          <w:szCs w:val="20"/>
          <w:lang w:val="en-US" w:eastAsia="zh-CN"/>
        </w:rPr>
        <w:t>)</w:t>
      </w:r>
      <w:r>
        <w:rPr>
          <w:rFonts w:hint="eastAsia" w:eastAsia="宋体" w:cs="Arial"/>
          <w:b/>
          <w:bCs/>
          <w:i/>
          <w:iCs/>
          <w:color w:val="auto"/>
          <w:sz w:val="20"/>
          <w:szCs w:val="20"/>
          <w:lang w:val="en-US" w:eastAsia="zh-CN"/>
        </w:rPr>
        <w:t>.</w:t>
      </w:r>
    </w:p>
    <w:p>
      <w:pPr>
        <w:keepNext/>
        <w:keepLines/>
        <w:pageBreakBefore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cs="Arial"/>
          <w:b/>
          <w:bCs/>
          <w:i/>
          <w:iCs/>
          <w:color w:val="auto"/>
          <w:sz w:val="20"/>
          <w:szCs w:val="20"/>
          <w:lang w:val="en-US" w:eastAsia="zh-CN"/>
        </w:rPr>
      </w:pPr>
      <w:r>
        <w:rPr>
          <w:rFonts w:hint="eastAsia" w:cs="Arial"/>
          <w:b/>
          <w:bCs/>
          <w:i/>
          <w:iCs/>
          <w:color w:val="auto"/>
          <w:sz w:val="20"/>
          <w:szCs w:val="20"/>
          <w:lang w:val="en-US" w:eastAsia="zh-CN"/>
        </w:rPr>
        <w:t>Observation. Currently, the requested sub-1GHz bands supports 4Rx in the two separated WIDs are different which imply the sub-1GHz band may only be for handheld UE.</w:t>
      </w:r>
    </w:p>
    <w:p>
      <w:pPr>
        <w:keepNext/>
        <w:keepLines/>
        <w:pageBreakBefore w:val="0"/>
        <w:kinsoku/>
        <w:wordWrap/>
        <w:topLinePunct w:val="0"/>
        <w:bidi w:val="0"/>
        <w:snapToGrid/>
        <w:rPr>
          <w:rFonts w:hint="eastAsia" w:eastAsia="宋体" w:cs="Arial"/>
          <w:b/>
          <w:bCs/>
          <w:i/>
          <w:iCs/>
          <w:color w:val="auto"/>
          <w:sz w:val="20"/>
          <w:szCs w:val="20"/>
          <w:lang w:val="en-US" w:eastAsia="zh-CN"/>
        </w:rPr>
      </w:pPr>
      <w:r>
        <w:rPr>
          <w:rFonts w:hint="eastAsia" w:cs="Arial"/>
          <w:b/>
          <w:bCs/>
          <w:i/>
          <w:iCs/>
          <w:color w:val="auto"/>
          <w:sz w:val="20"/>
          <w:szCs w:val="20"/>
          <w:lang w:val="en-US" w:eastAsia="zh-CN"/>
        </w:rPr>
        <w:t xml:space="preserve">Proposal 2: To discuss whether to specific </w:t>
      </w:r>
      <w:r>
        <w:rPr>
          <w:rFonts w:hint="default" w:cs="Arial"/>
          <w:b/>
          <w:bCs/>
          <w:i/>
          <w:iCs/>
          <w:color w:val="auto"/>
          <w:sz w:val="20"/>
          <w:szCs w:val="20"/>
          <w:lang w:val="en-US" w:eastAsia="zh-CN"/>
        </w:rPr>
        <w:t>‘4 Rx operation</w:t>
      </w:r>
      <w:r>
        <w:rPr>
          <w:rFonts w:hint="eastAsia" w:cs="Arial"/>
          <w:b/>
          <w:bCs/>
          <w:i/>
          <w:iCs/>
          <w:color w:val="auto"/>
          <w:sz w:val="20"/>
          <w:szCs w:val="20"/>
          <w:lang w:val="en-US" w:eastAsia="zh-CN"/>
        </w:rPr>
        <w:t xml:space="preserve"> is </w:t>
      </w:r>
      <w:r>
        <w:rPr>
          <w:rFonts w:hint="default" w:cs="Arial"/>
          <w:b/>
          <w:bCs/>
          <w:i/>
          <w:iCs/>
          <w:color w:val="auto"/>
          <w:sz w:val="20"/>
          <w:szCs w:val="20"/>
          <w:lang w:val="en-US" w:eastAsia="zh-CN"/>
        </w:rPr>
        <w:t xml:space="preserve">targeted for </w:t>
      </w:r>
      <w:r>
        <w:rPr>
          <w:rFonts w:hint="eastAsia" w:cs="Arial"/>
          <w:b/>
          <w:bCs/>
          <w:i/>
          <w:iCs/>
          <w:color w:val="auto"/>
          <w:sz w:val="20"/>
          <w:szCs w:val="20"/>
          <w:lang w:val="en-US" w:eastAsia="zh-CN"/>
        </w:rPr>
        <w:t>handheld UE</w:t>
      </w:r>
      <w:r>
        <w:rPr>
          <w:rFonts w:hint="default" w:cs="Arial"/>
          <w:b/>
          <w:bCs/>
          <w:i/>
          <w:iCs/>
          <w:color w:val="auto"/>
          <w:sz w:val="20"/>
          <w:szCs w:val="20"/>
          <w:lang w:val="en-US" w:eastAsia="zh-CN"/>
        </w:rPr>
        <w:t>’</w:t>
      </w:r>
      <w:r>
        <w:rPr>
          <w:rFonts w:hint="eastAsia" w:cs="Arial"/>
          <w:b/>
          <w:bCs/>
          <w:i/>
          <w:iCs/>
          <w:color w:val="auto"/>
          <w:sz w:val="20"/>
          <w:szCs w:val="20"/>
          <w:lang w:val="en-US" w:eastAsia="zh-CN"/>
        </w:rPr>
        <w:t xml:space="preserve"> for band(s) </w:t>
      </w:r>
      <w:bookmarkStart w:id="35" w:name="OLE_LINK34"/>
      <w:r>
        <w:rPr>
          <w:rFonts w:hint="eastAsia" w:cs="Arial"/>
          <w:b/>
          <w:bCs/>
          <w:i/>
          <w:iCs/>
          <w:color w:val="auto"/>
          <w:sz w:val="20"/>
          <w:szCs w:val="20"/>
          <w:lang w:val="en-US" w:eastAsia="zh-CN"/>
        </w:rPr>
        <w:t xml:space="preserve">in the (new) NOTE in the </w:t>
      </w:r>
      <w:r>
        <w:rPr>
          <w:rFonts w:hint="default" w:cs="Arial"/>
          <w:b/>
          <w:bCs/>
          <w:i/>
          <w:iCs/>
          <w:color w:val="auto"/>
          <w:sz w:val="20"/>
          <w:szCs w:val="20"/>
          <w:lang w:val="en-US" w:eastAsia="zh-CN"/>
        </w:rPr>
        <w:t>Table 7.3.2-2</w:t>
      </w:r>
      <w:r>
        <w:rPr>
          <w:rFonts w:hint="eastAsia" w:cs="Arial"/>
          <w:b/>
          <w:bCs/>
          <w:i/>
          <w:iCs/>
          <w:color w:val="auto"/>
          <w:sz w:val="20"/>
          <w:szCs w:val="20"/>
          <w:lang w:val="en-US" w:eastAsia="zh-CN"/>
        </w:rPr>
        <w:t>.</w:t>
      </w:r>
      <w:bookmarkEnd w:id="35"/>
    </w:p>
    <w:bookmarkEnd w:id="8"/>
    <w:bookmarkEnd w:id="9"/>
    <w:bookmarkEnd w:id="10"/>
    <w:bookmarkEnd w:id="11"/>
    <w:bookmarkEnd w:id="26"/>
    <w:bookmarkEnd w:id="27"/>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color w:val="auto"/>
          <w:sz w:val="20"/>
          <w:szCs w:val="20"/>
          <w:lang w:val="en-US" w:eastAsia="zh-CN"/>
        </w:rPr>
      </w:pPr>
      <w:r>
        <w:rPr>
          <w:rFonts w:hint="eastAsia"/>
          <w:color w:val="auto"/>
          <w:sz w:val="20"/>
          <w:szCs w:val="20"/>
          <w:lang w:val="en-US" w:eastAsia="zh-CN"/>
        </w:rPr>
        <w:t xml:space="preserve">[1] </w:t>
      </w:r>
      <w:bookmarkStart w:id="36" w:name="OLE_LINK35"/>
      <w:r>
        <w:rPr>
          <w:rFonts w:hint="default"/>
          <w:color w:val="auto"/>
          <w:sz w:val="20"/>
          <w:szCs w:val="20"/>
          <w:lang w:val="en-US" w:eastAsia="zh-CN"/>
        </w:rPr>
        <w:t>RP-231013</w:t>
      </w:r>
      <w:bookmarkEnd w:id="36"/>
      <w:r>
        <w:rPr>
          <w:rFonts w:hint="eastAsia"/>
          <w:color w:val="auto"/>
          <w:sz w:val="20"/>
          <w:szCs w:val="20"/>
          <w:lang w:val="en-US" w:eastAsia="zh-CN"/>
        </w:rPr>
        <w:t xml:space="preserve">, </w:t>
      </w:r>
      <w:r>
        <w:rPr>
          <w:rFonts w:hint="default"/>
          <w:color w:val="auto"/>
          <w:sz w:val="20"/>
          <w:szCs w:val="20"/>
          <w:lang w:val="en-US" w:eastAsia="zh-CN"/>
        </w:rPr>
        <w:t>Revised WID: Core part: 4Rx handheld UE for low NR bands (&lt;1GHz)and/or 3Tx for NR inter-band UL Carrier Aggregation (CA) and EN-DC</w:t>
      </w:r>
      <w:r>
        <w:rPr>
          <w:rFonts w:hint="eastAsia"/>
          <w:color w:val="auto"/>
          <w:sz w:val="20"/>
          <w:szCs w:val="20"/>
          <w:lang w:val="en-US" w:eastAsia="zh-CN"/>
        </w:rPr>
        <w:t>, OPPO</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color w:val="auto"/>
          <w:sz w:val="20"/>
          <w:szCs w:val="20"/>
          <w:lang w:val="en-US" w:eastAsia="zh-CN"/>
        </w:rPr>
      </w:pPr>
      <w:r>
        <w:rPr>
          <w:rFonts w:hint="eastAsia"/>
          <w:color w:val="auto"/>
          <w:sz w:val="20"/>
          <w:szCs w:val="20"/>
          <w:lang w:val="en-US" w:eastAsia="zh-CN"/>
        </w:rPr>
        <w:t xml:space="preserve">[2] </w:t>
      </w:r>
      <w:r>
        <w:rPr>
          <w:color w:val="auto"/>
          <w:sz w:val="20"/>
          <w:szCs w:val="20"/>
          <w:lang w:val="en-US" w:eastAsia="zh-CN"/>
        </w:rPr>
        <w:t>R4-2306553</w:t>
      </w:r>
      <w:r>
        <w:rPr>
          <w:rFonts w:hint="eastAsia"/>
          <w:color w:val="auto"/>
          <w:sz w:val="20"/>
          <w:szCs w:val="20"/>
          <w:lang w:val="en-US" w:eastAsia="zh-CN"/>
        </w:rPr>
        <w:t>,</w:t>
      </w:r>
      <w:r>
        <w:rPr>
          <w:color w:val="auto"/>
          <w:sz w:val="20"/>
          <w:szCs w:val="20"/>
          <w:lang w:val="en-US" w:eastAsia="zh-CN"/>
        </w:rPr>
        <w:t>WF on low band 4Rx</w:t>
      </w:r>
      <w:r>
        <w:rPr>
          <w:rFonts w:hint="eastAsia"/>
          <w:color w:val="auto"/>
          <w:sz w:val="20"/>
          <w:szCs w:val="20"/>
          <w:lang w:val="en-US" w:eastAsia="zh-CN"/>
        </w:rPr>
        <w:t>, OPPO</w:t>
      </w:r>
      <w:r>
        <w:rPr>
          <w:color w:val="auto"/>
          <w:sz w:val="20"/>
          <w:szCs w:val="20"/>
          <w:lang w:val="en-US" w:eastAsia="zh-CN"/>
        </w:rPr>
        <w:t xml:space="preserve"> </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eastAsia"/>
          <w:color w:val="auto"/>
          <w:sz w:val="20"/>
          <w:szCs w:val="20"/>
          <w:lang w:val="en-US" w:eastAsia="zh-CN"/>
        </w:rPr>
      </w:pPr>
      <w:r>
        <w:rPr>
          <w:rFonts w:hint="eastAsia"/>
          <w:color w:val="auto"/>
          <w:sz w:val="20"/>
          <w:szCs w:val="20"/>
          <w:lang w:val="en-US" w:eastAsia="zh-CN"/>
        </w:rPr>
        <w:t>[3]R4-2308170, Further discussion on 4Rx low band for handheld UE, ZTE</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color w:val="auto"/>
          <w:sz w:val="20"/>
          <w:szCs w:val="20"/>
          <w:lang w:val="en-US" w:eastAsia="zh-CN"/>
        </w:rPr>
      </w:pPr>
      <w:bookmarkStart w:id="37" w:name="OLE_LINK17"/>
      <w:r>
        <w:rPr>
          <w:rFonts w:hint="eastAsia"/>
          <w:color w:val="auto"/>
          <w:sz w:val="20"/>
          <w:szCs w:val="20"/>
          <w:lang w:val="en-US" w:eastAsia="zh-CN"/>
        </w:rPr>
        <w:t xml:space="preserve">[4] </w:t>
      </w:r>
      <w:bookmarkStart w:id="38" w:name="OLE_LINK36"/>
      <w:r>
        <w:rPr>
          <w:rFonts w:hint="default"/>
          <w:color w:val="auto"/>
          <w:sz w:val="20"/>
          <w:szCs w:val="20"/>
          <w:lang w:val="en-US" w:eastAsia="zh-CN"/>
        </w:rPr>
        <w:t>RP-231119</w:t>
      </w:r>
      <w:bookmarkEnd w:id="37"/>
      <w:bookmarkEnd w:id="38"/>
      <w:r>
        <w:rPr>
          <w:rFonts w:hint="default"/>
          <w:color w:val="auto"/>
          <w:sz w:val="20"/>
          <w:szCs w:val="20"/>
          <w:lang w:val="en-US" w:eastAsia="zh-CN"/>
        </w:rPr>
        <w:tab/>
      </w:r>
      <w:r>
        <w:rPr>
          <w:rFonts w:hint="default"/>
          <w:color w:val="auto"/>
          <w:sz w:val="20"/>
          <w:szCs w:val="20"/>
          <w:lang w:val="en-US" w:eastAsia="zh-CN"/>
        </w:rPr>
        <w:t>Revised WID:Rel-18 4Rx for NR bands for FWA (Fixed Wireless</w:t>
      </w:r>
      <w:r>
        <w:rPr>
          <w:rFonts w:hint="eastAsia"/>
          <w:color w:val="auto"/>
          <w:sz w:val="20"/>
          <w:szCs w:val="20"/>
          <w:lang w:val="en-US" w:eastAsia="zh-CN"/>
        </w:rPr>
        <w:t xml:space="preserve"> </w:t>
      </w:r>
      <w:r>
        <w:rPr>
          <w:rFonts w:hint="default"/>
          <w:color w:val="auto"/>
          <w:sz w:val="20"/>
          <w:szCs w:val="20"/>
          <w:lang w:val="en-US" w:eastAsia="zh-CN"/>
        </w:rPr>
        <w:t>Access) UEs (&lt;2.6GHz) and handheld UEs (1GHz to 2.6GHz)</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F59493C"/>
    <w:multiLevelType w:val="multilevel"/>
    <w:tmpl w:val="1F59493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2175B04"/>
    <w:multiLevelType w:val="multilevel"/>
    <w:tmpl w:val="32175B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3130345"/>
    <w:multiLevelType w:val="multilevel"/>
    <w:tmpl w:val="7313034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7"/>
  </w:num>
  <w:num w:numId="3">
    <w:abstractNumId w:val="4"/>
  </w:num>
  <w:num w:numId="4">
    <w:abstractNumId w:val="6"/>
  </w:num>
  <w:num w:numId="5">
    <w:abstractNumId w:val="1"/>
  </w:num>
  <w:num w:numId="6">
    <w:abstractNumId w:val="0"/>
  </w:num>
  <w:num w:numId="7">
    <w:abstractNumId w:val="8"/>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5F7DF7"/>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1B51"/>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5780"/>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95610"/>
    <w:rsid w:val="010E4834"/>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CC3CBC"/>
    <w:rsid w:val="01D00B7E"/>
    <w:rsid w:val="01D46B8D"/>
    <w:rsid w:val="01D67ABF"/>
    <w:rsid w:val="01D866D8"/>
    <w:rsid w:val="01E54210"/>
    <w:rsid w:val="01EE2663"/>
    <w:rsid w:val="01F90434"/>
    <w:rsid w:val="01FB366B"/>
    <w:rsid w:val="01FD3930"/>
    <w:rsid w:val="02001D28"/>
    <w:rsid w:val="02024A92"/>
    <w:rsid w:val="02042B52"/>
    <w:rsid w:val="021B7C87"/>
    <w:rsid w:val="022D4A6E"/>
    <w:rsid w:val="023B0A39"/>
    <w:rsid w:val="023C78A7"/>
    <w:rsid w:val="02444B7E"/>
    <w:rsid w:val="024A5964"/>
    <w:rsid w:val="024B023C"/>
    <w:rsid w:val="024D6B6A"/>
    <w:rsid w:val="02510B5E"/>
    <w:rsid w:val="02566C17"/>
    <w:rsid w:val="025C4BEF"/>
    <w:rsid w:val="026104BF"/>
    <w:rsid w:val="02646A0E"/>
    <w:rsid w:val="02655431"/>
    <w:rsid w:val="027275A1"/>
    <w:rsid w:val="027371D9"/>
    <w:rsid w:val="0276366F"/>
    <w:rsid w:val="027E7A27"/>
    <w:rsid w:val="027F646E"/>
    <w:rsid w:val="02851D9F"/>
    <w:rsid w:val="028F6D4C"/>
    <w:rsid w:val="02926AD9"/>
    <w:rsid w:val="02933CBB"/>
    <w:rsid w:val="02951DBD"/>
    <w:rsid w:val="02976D78"/>
    <w:rsid w:val="02983E12"/>
    <w:rsid w:val="029A69A7"/>
    <w:rsid w:val="029B04E7"/>
    <w:rsid w:val="02A10998"/>
    <w:rsid w:val="02AB0FBC"/>
    <w:rsid w:val="02AE6812"/>
    <w:rsid w:val="02BA2E2E"/>
    <w:rsid w:val="02CF2DC2"/>
    <w:rsid w:val="02D16C80"/>
    <w:rsid w:val="02DC3F9C"/>
    <w:rsid w:val="02E50916"/>
    <w:rsid w:val="02E566FB"/>
    <w:rsid w:val="02F17DCF"/>
    <w:rsid w:val="03036B01"/>
    <w:rsid w:val="03052298"/>
    <w:rsid w:val="03073BDC"/>
    <w:rsid w:val="030A6B04"/>
    <w:rsid w:val="030B0647"/>
    <w:rsid w:val="030B2860"/>
    <w:rsid w:val="030C40C1"/>
    <w:rsid w:val="030D2F0B"/>
    <w:rsid w:val="03187492"/>
    <w:rsid w:val="031E429F"/>
    <w:rsid w:val="032F336F"/>
    <w:rsid w:val="03317AD0"/>
    <w:rsid w:val="03330032"/>
    <w:rsid w:val="0335410E"/>
    <w:rsid w:val="033C68CE"/>
    <w:rsid w:val="033F2185"/>
    <w:rsid w:val="033F734A"/>
    <w:rsid w:val="03445E8F"/>
    <w:rsid w:val="03496C64"/>
    <w:rsid w:val="035154D3"/>
    <w:rsid w:val="03527C38"/>
    <w:rsid w:val="0356746F"/>
    <w:rsid w:val="0360259A"/>
    <w:rsid w:val="036E37C2"/>
    <w:rsid w:val="03746F87"/>
    <w:rsid w:val="03814F5B"/>
    <w:rsid w:val="038B3141"/>
    <w:rsid w:val="03A77DFA"/>
    <w:rsid w:val="03B339B1"/>
    <w:rsid w:val="03BE63EA"/>
    <w:rsid w:val="03C05350"/>
    <w:rsid w:val="03C1287B"/>
    <w:rsid w:val="03C36B0E"/>
    <w:rsid w:val="03C528EA"/>
    <w:rsid w:val="03CF67FA"/>
    <w:rsid w:val="03D56704"/>
    <w:rsid w:val="03E120EA"/>
    <w:rsid w:val="03E358F3"/>
    <w:rsid w:val="03E84DE8"/>
    <w:rsid w:val="03EC63CD"/>
    <w:rsid w:val="03EF7541"/>
    <w:rsid w:val="03FE5B85"/>
    <w:rsid w:val="03FE7E2B"/>
    <w:rsid w:val="04030035"/>
    <w:rsid w:val="040D58A3"/>
    <w:rsid w:val="04251A4C"/>
    <w:rsid w:val="042D2E97"/>
    <w:rsid w:val="04305EA0"/>
    <w:rsid w:val="04310833"/>
    <w:rsid w:val="04343921"/>
    <w:rsid w:val="043865BF"/>
    <w:rsid w:val="043A14AD"/>
    <w:rsid w:val="044C78D8"/>
    <w:rsid w:val="04537B11"/>
    <w:rsid w:val="04684A28"/>
    <w:rsid w:val="046C0EAE"/>
    <w:rsid w:val="04782230"/>
    <w:rsid w:val="0479507E"/>
    <w:rsid w:val="047C3CEC"/>
    <w:rsid w:val="04877377"/>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B92EC1"/>
    <w:rsid w:val="05E078B3"/>
    <w:rsid w:val="05E942A3"/>
    <w:rsid w:val="05EA759F"/>
    <w:rsid w:val="05EC2028"/>
    <w:rsid w:val="05EE6827"/>
    <w:rsid w:val="05EF01B6"/>
    <w:rsid w:val="0601277E"/>
    <w:rsid w:val="060C5AED"/>
    <w:rsid w:val="06103146"/>
    <w:rsid w:val="06172561"/>
    <w:rsid w:val="061E54DA"/>
    <w:rsid w:val="061E5E22"/>
    <w:rsid w:val="062B2FCF"/>
    <w:rsid w:val="063F63E4"/>
    <w:rsid w:val="06460B91"/>
    <w:rsid w:val="06474E16"/>
    <w:rsid w:val="0654187C"/>
    <w:rsid w:val="065475DE"/>
    <w:rsid w:val="06556C03"/>
    <w:rsid w:val="06780348"/>
    <w:rsid w:val="06782F84"/>
    <w:rsid w:val="067C28D6"/>
    <w:rsid w:val="067F6DB1"/>
    <w:rsid w:val="068A55C2"/>
    <w:rsid w:val="068E06BC"/>
    <w:rsid w:val="069201CB"/>
    <w:rsid w:val="0692688D"/>
    <w:rsid w:val="06956E2E"/>
    <w:rsid w:val="069657BB"/>
    <w:rsid w:val="06A20AA3"/>
    <w:rsid w:val="06AC7765"/>
    <w:rsid w:val="06B62C91"/>
    <w:rsid w:val="06B741D9"/>
    <w:rsid w:val="06B756E7"/>
    <w:rsid w:val="06C457B6"/>
    <w:rsid w:val="06CD4A70"/>
    <w:rsid w:val="06DF4C13"/>
    <w:rsid w:val="06E7678C"/>
    <w:rsid w:val="06F42A88"/>
    <w:rsid w:val="06F801C0"/>
    <w:rsid w:val="070E5E48"/>
    <w:rsid w:val="07105178"/>
    <w:rsid w:val="0712124C"/>
    <w:rsid w:val="071C13A8"/>
    <w:rsid w:val="073D143C"/>
    <w:rsid w:val="073F5BA7"/>
    <w:rsid w:val="074454BD"/>
    <w:rsid w:val="074855FD"/>
    <w:rsid w:val="074F5696"/>
    <w:rsid w:val="07627CA0"/>
    <w:rsid w:val="076319C4"/>
    <w:rsid w:val="07687A9B"/>
    <w:rsid w:val="076925D2"/>
    <w:rsid w:val="077241E3"/>
    <w:rsid w:val="077B4360"/>
    <w:rsid w:val="078C5933"/>
    <w:rsid w:val="078D336C"/>
    <w:rsid w:val="07971B3F"/>
    <w:rsid w:val="07983294"/>
    <w:rsid w:val="079F1838"/>
    <w:rsid w:val="07A2030D"/>
    <w:rsid w:val="07A5677E"/>
    <w:rsid w:val="07B51934"/>
    <w:rsid w:val="07B9290D"/>
    <w:rsid w:val="07BE52B9"/>
    <w:rsid w:val="07C20255"/>
    <w:rsid w:val="07C55A1A"/>
    <w:rsid w:val="07CB1347"/>
    <w:rsid w:val="07D57946"/>
    <w:rsid w:val="07E22149"/>
    <w:rsid w:val="07E707EA"/>
    <w:rsid w:val="07ED524D"/>
    <w:rsid w:val="080124E3"/>
    <w:rsid w:val="08030E27"/>
    <w:rsid w:val="080C7FA0"/>
    <w:rsid w:val="080F0F47"/>
    <w:rsid w:val="08193C24"/>
    <w:rsid w:val="082A7098"/>
    <w:rsid w:val="08334B3D"/>
    <w:rsid w:val="08341060"/>
    <w:rsid w:val="08415BC2"/>
    <w:rsid w:val="08603E1D"/>
    <w:rsid w:val="08732D34"/>
    <w:rsid w:val="08787FF0"/>
    <w:rsid w:val="08824DF0"/>
    <w:rsid w:val="0889002B"/>
    <w:rsid w:val="088F2E46"/>
    <w:rsid w:val="089B79D9"/>
    <w:rsid w:val="08A44DA6"/>
    <w:rsid w:val="08AA245A"/>
    <w:rsid w:val="08AB0220"/>
    <w:rsid w:val="08AD2ACC"/>
    <w:rsid w:val="08BA6E24"/>
    <w:rsid w:val="08C024D5"/>
    <w:rsid w:val="08C562FD"/>
    <w:rsid w:val="08CA27B1"/>
    <w:rsid w:val="08DD6212"/>
    <w:rsid w:val="08DD767F"/>
    <w:rsid w:val="08E916DF"/>
    <w:rsid w:val="08F473EA"/>
    <w:rsid w:val="08FC0AA5"/>
    <w:rsid w:val="092173F4"/>
    <w:rsid w:val="09262DE9"/>
    <w:rsid w:val="092F7300"/>
    <w:rsid w:val="09306537"/>
    <w:rsid w:val="09355076"/>
    <w:rsid w:val="09392119"/>
    <w:rsid w:val="093C76A9"/>
    <w:rsid w:val="094376AE"/>
    <w:rsid w:val="09445E95"/>
    <w:rsid w:val="09543B3B"/>
    <w:rsid w:val="09576B32"/>
    <w:rsid w:val="09600FBD"/>
    <w:rsid w:val="096A5E52"/>
    <w:rsid w:val="096B51F8"/>
    <w:rsid w:val="0972595C"/>
    <w:rsid w:val="098143BC"/>
    <w:rsid w:val="098500F1"/>
    <w:rsid w:val="098A07FF"/>
    <w:rsid w:val="0992510E"/>
    <w:rsid w:val="09934C95"/>
    <w:rsid w:val="09AC1243"/>
    <w:rsid w:val="09BD407A"/>
    <w:rsid w:val="09BF0A40"/>
    <w:rsid w:val="09C12CF5"/>
    <w:rsid w:val="09DA0E26"/>
    <w:rsid w:val="09DB6437"/>
    <w:rsid w:val="09E55691"/>
    <w:rsid w:val="09F67CD5"/>
    <w:rsid w:val="0A054821"/>
    <w:rsid w:val="0A0835C8"/>
    <w:rsid w:val="0A145721"/>
    <w:rsid w:val="0A20044E"/>
    <w:rsid w:val="0A332555"/>
    <w:rsid w:val="0A355EAA"/>
    <w:rsid w:val="0A3708FF"/>
    <w:rsid w:val="0A3B01F9"/>
    <w:rsid w:val="0A3F0488"/>
    <w:rsid w:val="0A402A36"/>
    <w:rsid w:val="0A4236A3"/>
    <w:rsid w:val="0A4E7EF5"/>
    <w:rsid w:val="0A646846"/>
    <w:rsid w:val="0A656885"/>
    <w:rsid w:val="0A7B4D83"/>
    <w:rsid w:val="0A817CBD"/>
    <w:rsid w:val="0A8251CA"/>
    <w:rsid w:val="0A8828AB"/>
    <w:rsid w:val="0A927DC1"/>
    <w:rsid w:val="0A973B06"/>
    <w:rsid w:val="0A9B4F7F"/>
    <w:rsid w:val="0A9C263A"/>
    <w:rsid w:val="0A9D54CD"/>
    <w:rsid w:val="0A9E3D3D"/>
    <w:rsid w:val="0AA077E0"/>
    <w:rsid w:val="0AC01F88"/>
    <w:rsid w:val="0AC0212C"/>
    <w:rsid w:val="0AC3085F"/>
    <w:rsid w:val="0AC80F1B"/>
    <w:rsid w:val="0AD542C1"/>
    <w:rsid w:val="0ADD5A20"/>
    <w:rsid w:val="0AE10FD9"/>
    <w:rsid w:val="0AE803C9"/>
    <w:rsid w:val="0AF13898"/>
    <w:rsid w:val="0AFB3228"/>
    <w:rsid w:val="0AFC6C07"/>
    <w:rsid w:val="0AFE5115"/>
    <w:rsid w:val="0B0130D7"/>
    <w:rsid w:val="0B0250FD"/>
    <w:rsid w:val="0B0F025C"/>
    <w:rsid w:val="0B1A6333"/>
    <w:rsid w:val="0B1C6BD3"/>
    <w:rsid w:val="0B206C06"/>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9739A"/>
    <w:rsid w:val="0BCB7BF7"/>
    <w:rsid w:val="0BCC4043"/>
    <w:rsid w:val="0BCC4B6A"/>
    <w:rsid w:val="0BDA6061"/>
    <w:rsid w:val="0BE2291A"/>
    <w:rsid w:val="0C1E494F"/>
    <w:rsid w:val="0C276EDB"/>
    <w:rsid w:val="0C3128FC"/>
    <w:rsid w:val="0C327BCF"/>
    <w:rsid w:val="0C3427D0"/>
    <w:rsid w:val="0C34372E"/>
    <w:rsid w:val="0C43327D"/>
    <w:rsid w:val="0C4426AF"/>
    <w:rsid w:val="0C453647"/>
    <w:rsid w:val="0C4577EC"/>
    <w:rsid w:val="0C4F3B0E"/>
    <w:rsid w:val="0C4F7881"/>
    <w:rsid w:val="0C5C6396"/>
    <w:rsid w:val="0C63431B"/>
    <w:rsid w:val="0C650A20"/>
    <w:rsid w:val="0C690EFA"/>
    <w:rsid w:val="0C6E11B8"/>
    <w:rsid w:val="0C723CD1"/>
    <w:rsid w:val="0C825F28"/>
    <w:rsid w:val="0C840B1B"/>
    <w:rsid w:val="0C8B63A3"/>
    <w:rsid w:val="0CB94808"/>
    <w:rsid w:val="0CC146A9"/>
    <w:rsid w:val="0CC37BC2"/>
    <w:rsid w:val="0CC4563C"/>
    <w:rsid w:val="0CD87ABE"/>
    <w:rsid w:val="0CE26C42"/>
    <w:rsid w:val="0CE632FF"/>
    <w:rsid w:val="0CE76B48"/>
    <w:rsid w:val="0CEB5DBE"/>
    <w:rsid w:val="0CFB523A"/>
    <w:rsid w:val="0D0123D1"/>
    <w:rsid w:val="0D074D4A"/>
    <w:rsid w:val="0D0A3371"/>
    <w:rsid w:val="0D17377F"/>
    <w:rsid w:val="0D1B1E9C"/>
    <w:rsid w:val="0D4B44A1"/>
    <w:rsid w:val="0D6811B4"/>
    <w:rsid w:val="0D6E2620"/>
    <w:rsid w:val="0D704E21"/>
    <w:rsid w:val="0D7559C6"/>
    <w:rsid w:val="0D7F48FE"/>
    <w:rsid w:val="0D883C88"/>
    <w:rsid w:val="0D8958D7"/>
    <w:rsid w:val="0D936E72"/>
    <w:rsid w:val="0D966BF7"/>
    <w:rsid w:val="0DB54F84"/>
    <w:rsid w:val="0DCC3AE8"/>
    <w:rsid w:val="0DD87842"/>
    <w:rsid w:val="0DEC4E03"/>
    <w:rsid w:val="0DEF012A"/>
    <w:rsid w:val="0DF202E1"/>
    <w:rsid w:val="0DF53CE3"/>
    <w:rsid w:val="0DF648B3"/>
    <w:rsid w:val="0E0961C5"/>
    <w:rsid w:val="0E147898"/>
    <w:rsid w:val="0E2F216B"/>
    <w:rsid w:val="0E2F2859"/>
    <w:rsid w:val="0E3352C6"/>
    <w:rsid w:val="0E3A5EE2"/>
    <w:rsid w:val="0E3C0F13"/>
    <w:rsid w:val="0E542F3B"/>
    <w:rsid w:val="0E5757F7"/>
    <w:rsid w:val="0E5A14B8"/>
    <w:rsid w:val="0E6271DF"/>
    <w:rsid w:val="0E782336"/>
    <w:rsid w:val="0E8127A8"/>
    <w:rsid w:val="0E81568A"/>
    <w:rsid w:val="0E8813DA"/>
    <w:rsid w:val="0E942250"/>
    <w:rsid w:val="0E963344"/>
    <w:rsid w:val="0E9E6E00"/>
    <w:rsid w:val="0EA40C1C"/>
    <w:rsid w:val="0EAF381F"/>
    <w:rsid w:val="0EB1120F"/>
    <w:rsid w:val="0EB72E4B"/>
    <w:rsid w:val="0EC80AE4"/>
    <w:rsid w:val="0ED808FC"/>
    <w:rsid w:val="0EEC6F1D"/>
    <w:rsid w:val="0F103291"/>
    <w:rsid w:val="0F15660A"/>
    <w:rsid w:val="0F1D498B"/>
    <w:rsid w:val="0F1E7CA0"/>
    <w:rsid w:val="0F22242C"/>
    <w:rsid w:val="0F337178"/>
    <w:rsid w:val="0F3B15FC"/>
    <w:rsid w:val="0F41022A"/>
    <w:rsid w:val="0F442498"/>
    <w:rsid w:val="0F56743B"/>
    <w:rsid w:val="0F60682C"/>
    <w:rsid w:val="0F6703F0"/>
    <w:rsid w:val="0F6763D9"/>
    <w:rsid w:val="0F715B2B"/>
    <w:rsid w:val="0F744211"/>
    <w:rsid w:val="0F764270"/>
    <w:rsid w:val="0F7F273F"/>
    <w:rsid w:val="0F8418ED"/>
    <w:rsid w:val="0F957B47"/>
    <w:rsid w:val="0F98796C"/>
    <w:rsid w:val="0F9F6FA4"/>
    <w:rsid w:val="0FA461A5"/>
    <w:rsid w:val="0FA65D5C"/>
    <w:rsid w:val="0FAA75F1"/>
    <w:rsid w:val="0FAD33DA"/>
    <w:rsid w:val="0FBC23B8"/>
    <w:rsid w:val="0FBE2A42"/>
    <w:rsid w:val="0FBF496F"/>
    <w:rsid w:val="0FC17CCE"/>
    <w:rsid w:val="0FC30A3B"/>
    <w:rsid w:val="0FC424B9"/>
    <w:rsid w:val="0FD70565"/>
    <w:rsid w:val="0FEB2F72"/>
    <w:rsid w:val="0FEC680C"/>
    <w:rsid w:val="10007AD6"/>
    <w:rsid w:val="10165177"/>
    <w:rsid w:val="101B1E8A"/>
    <w:rsid w:val="101C4A03"/>
    <w:rsid w:val="101D0C86"/>
    <w:rsid w:val="103005B7"/>
    <w:rsid w:val="104A023B"/>
    <w:rsid w:val="10501493"/>
    <w:rsid w:val="10505F3B"/>
    <w:rsid w:val="106319D6"/>
    <w:rsid w:val="10677613"/>
    <w:rsid w:val="106D2686"/>
    <w:rsid w:val="107C3E2C"/>
    <w:rsid w:val="107D41AE"/>
    <w:rsid w:val="108C2479"/>
    <w:rsid w:val="109825ED"/>
    <w:rsid w:val="10A04697"/>
    <w:rsid w:val="10C715C5"/>
    <w:rsid w:val="10CA150E"/>
    <w:rsid w:val="10D335EF"/>
    <w:rsid w:val="10E746EA"/>
    <w:rsid w:val="10E83FE0"/>
    <w:rsid w:val="10EC3168"/>
    <w:rsid w:val="10EE449D"/>
    <w:rsid w:val="10F52718"/>
    <w:rsid w:val="11027C62"/>
    <w:rsid w:val="11063915"/>
    <w:rsid w:val="11124F2E"/>
    <w:rsid w:val="11125358"/>
    <w:rsid w:val="111F6CBE"/>
    <w:rsid w:val="112D2A42"/>
    <w:rsid w:val="113A22DB"/>
    <w:rsid w:val="114028DC"/>
    <w:rsid w:val="11441C15"/>
    <w:rsid w:val="115554D7"/>
    <w:rsid w:val="1159252B"/>
    <w:rsid w:val="1160765D"/>
    <w:rsid w:val="116F1EB0"/>
    <w:rsid w:val="11747E61"/>
    <w:rsid w:val="117A242E"/>
    <w:rsid w:val="117B1D6A"/>
    <w:rsid w:val="117C2D9D"/>
    <w:rsid w:val="117F159E"/>
    <w:rsid w:val="11821DC9"/>
    <w:rsid w:val="11897A08"/>
    <w:rsid w:val="11921373"/>
    <w:rsid w:val="119540EE"/>
    <w:rsid w:val="119D7849"/>
    <w:rsid w:val="11A615EE"/>
    <w:rsid w:val="11A658F4"/>
    <w:rsid w:val="11B07320"/>
    <w:rsid w:val="11B91A57"/>
    <w:rsid w:val="11BA3FAE"/>
    <w:rsid w:val="11C67B8F"/>
    <w:rsid w:val="11CE730E"/>
    <w:rsid w:val="11D815C4"/>
    <w:rsid w:val="11DE6728"/>
    <w:rsid w:val="11E57D4F"/>
    <w:rsid w:val="11F40833"/>
    <w:rsid w:val="11F92DAB"/>
    <w:rsid w:val="11FB6DE4"/>
    <w:rsid w:val="11FC38D5"/>
    <w:rsid w:val="11FD37F5"/>
    <w:rsid w:val="120F1E38"/>
    <w:rsid w:val="1210682D"/>
    <w:rsid w:val="123666FE"/>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64C08"/>
    <w:rsid w:val="12C7312B"/>
    <w:rsid w:val="12D22971"/>
    <w:rsid w:val="12D85654"/>
    <w:rsid w:val="12DF4A87"/>
    <w:rsid w:val="12E265EC"/>
    <w:rsid w:val="12E706B5"/>
    <w:rsid w:val="12EE5106"/>
    <w:rsid w:val="12F777F2"/>
    <w:rsid w:val="12FB13CE"/>
    <w:rsid w:val="1307341C"/>
    <w:rsid w:val="130909CE"/>
    <w:rsid w:val="130C40FE"/>
    <w:rsid w:val="130E3629"/>
    <w:rsid w:val="131B39DD"/>
    <w:rsid w:val="13241CB2"/>
    <w:rsid w:val="13283BA4"/>
    <w:rsid w:val="13332F77"/>
    <w:rsid w:val="13334E1C"/>
    <w:rsid w:val="13346EE4"/>
    <w:rsid w:val="13384952"/>
    <w:rsid w:val="13410715"/>
    <w:rsid w:val="134D0F27"/>
    <w:rsid w:val="1355107F"/>
    <w:rsid w:val="135D4D2E"/>
    <w:rsid w:val="1366638D"/>
    <w:rsid w:val="1369011A"/>
    <w:rsid w:val="136D76E8"/>
    <w:rsid w:val="137266E0"/>
    <w:rsid w:val="13811975"/>
    <w:rsid w:val="138E520C"/>
    <w:rsid w:val="139427E2"/>
    <w:rsid w:val="139D3156"/>
    <w:rsid w:val="13AA5FA1"/>
    <w:rsid w:val="13B33919"/>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D17B2"/>
    <w:rsid w:val="145103FA"/>
    <w:rsid w:val="145F07C7"/>
    <w:rsid w:val="146B69A8"/>
    <w:rsid w:val="146C5189"/>
    <w:rsid w:val="146C554B"/>
    <w:rsid w:val="146F1089"/>
    <w:rsid w:val="147A0F4B"/>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53459"/>
    <w:rsid w:val="14E60B42"/>
    <w:rsid w:val="14EA1C4D"/>
    <w:rsid w:val="14EF0267"/>
    <w:rsid w:val="150222BF"/>
    <w:rsid w:val="150F7C33"/>
    <w:rsid w:val="151178FC"/>
    <w:rsid w:val="1515004B"/>
    <w:rsid w:val="151B7C99"/>
    <w:rsid w:val="15207BBA"/>
    <w:rsid w:val="15222DA1"/>
    <w:rsid w:val="152F4E1B"/>
    <w:rsid w:val="15416308"/>
    <w:rsid w:val="154D342A"/>
    <w:rsid w:val="1559587F"/>
    <w:rsid w:val="15740334"/>
    <w:rsid w:val="1574662E"/>
    <w:rsid w:val="15751882"/>
    <w:rsid w:val="1575191B"/>
    <w:rsid w:val="157818C6"/>
    <w:rsid w:val="159F15E6"/>
    <w:rsid w:val="159F73BB"/>
    <w:rsid w:val="15A74F1D"/>
    <w:rsid w:val="15B03F28"/>
    <w:rsid w:val="15C15E25"/>
    <w:rsid w:val="15C42571"/>
    <w:rsid w:val="15E30A80"/>
    <w:rsid w:val="15F334EC"/>
    <w:rsid w:val="15FD2FA2"/>
    <w:rsid w:val="160045C7"/>
    <w:rsid w:val="1608480E"/>
    <w:rsid w:val="161C1C58"/>
    <w:rsid w:val="16291E34"/>
    <w:rsid w:val="162D7415"/>
    <w:rsid w:val="162F7556"/>
    <w:rsid w:val="163814FD"/>
    <w:rsid w:val="16413A3A"/>
    <w:rsid w:val="1644500C"/>
    <w:rsid w:val="16461A95"/>
    <w:rsid w:val="16594F06"/>
    <w:rsid w:val="165A38E6"/>
    <w:rsid w:val="166F5E80"/>
    <w:rsid w:val="16766A92"/>
    <w:rsid w:val="16775081"/>
    <w:rsid w:val="167A52A9"/>
    <w:rsid w:val="167B20D8"/>
    <w:rsid w:val="167B7B40"/>
    <w:rsid w:val="167C6594"/>
    <w:rsid w:val="16833ACA"/>
    <w:rsid w:val="16866882"/>
    <w:rsid w:val="16872167"/>
    <w:rsid w:val="16895E32"/>
    <w:rsid w:val="168F69F2"/>
    <w:rsid w:val="169C7FDE"/>
    <w:rsid w:val="16A331E4"/>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17ED6"/>
    <w:rsid w:val="1738730F"/>
    <w:rsid w:val="17416499"/>
    <w:rsid w:val="17481B81"/>
    <w:rsid w:val="17481E8B"/>
    <w:rsid w:val="174A69B0"/>
    <w:rsid w:val="174E36D1"/>
    <w:rsid w:val="175007ED"/>
    <w:rsid w:val="17512F07"/>
    <w:rsid w:val="17605E9B"/>
    <w:rsid w:val="17646825"/>
    <w:rsid w:val="176B45C6"/>
    <w:rsid w:val="176C447F"/>
    <w:rsid w:val="17850F99"/>
    <w:rsid w:val="17875303"/>
    <w:rsid w:val="178815C4"/>
    <w:rsid w:val="17891C0B"/>
    <w:rsid w:val="178F2F4E"/>
    <w:rsid w:val="1793626E"/>
    <w:rsid w:val="17991452"/>
    <w:rsid w:val="17A875F5"/>
    <w:rsid w:val="17B5256D"/>
    <w:rsid w:val="17B92501"/>
    <w:rsid w:val="17E65848"/>
    <w:rsid w:val="17E66DD8"/>
    <w:rsid w:val="17E84839"/>
    <w:rsid w:val="17EE1403"/>
    <w:rsid w:val="17F25234"/>
    <w:rsid w:val="17FD061B"/>
    <w:rsid w:val="17FD20FD"/>
    <w:rsid w:val="17FF6314"/>
    <w:rsid w:val="18003E3E"/>
    <w:rsid w:val="18005F41"/>
    <w:rsid w:val="18025414"/>
    <w:rsid w:val="18167041"/>
    <w:rsid w:val="18171305"/>
    <w:rsid w:val="1829280B"/>
    <w:rsid w:val="18334194"/>
    <w:rsid w:val="183E1D37"/>
    <w:rsid w:val="184C6C12"/>
    <w:rsid w:val="184D0787"/>
    <w:rsid w:val="185D1883"/>
    <w:rsid w:val="185E3AA1"/>
    <w:rsid w:val="18601A95"/>
    <w:rsid w:val="186266BE"/>
    <w:rsid w:val="18717152"/>
    <w:rsid w:val="18812331"/>
    <w:rsid w:val="18816F1C"/>
    <w:rsid w:val="18847050"/>
    <w:rsid w:val="18853F3E"/>
    <w:rsid w:val="188F3639"/>
    <w:rsid w:val="18917CF5"/>
    <w:rsid w:val="18956393"/>
    <w:rsid w:val="18A22DF7"/>
    <w:rsid w:val="18A8582C"/>
    <w:rsid w:val="18B50543"/>
    <w:rsid w:val="18CA40C3"/>
    <w:rsid w:val="18CD7A02"/>
    <w:rsid w:val="18D904AC"/>
    <w:rsid w:val="18E7442B"/>
    <w:rsid w:val="18F94206"/>
    <w:rsid w:val="19001FFC"/>
    <w:rsid w:val="19083894"/>
    <w:rsid w:val="190B110A"/>
    <w:rsid w:val="190E2B4A"/>
    <w:rsid w:val="191B2C8C"/>
    <w:rsid w:val="191B4779"/>
    <w:rsid w:val="19256D7A"/>
    <w:rsid w:val="1927667A"/>
    <w:rsid w:val="192E3D6E"/>
    <w:rsid w:val="193275C2"/>
    <w:rsid w:val="19342CF4"/>
    <w:rsid w:val="193A500F"/>
    <w:rsid w:val="193B3E86"/>
    <w:rsid w:val="194D2005"/>
    <w:rsid w:val="19655A52"/>
    <w:rsid w:val="19663168"/>
    <w:rsid w:val="197724BD"/>
    <w:rsid w:val="19786B0A"/>
    <w:rsid w:val="19811679"/>
    <w:rsid w:val="198A41A1"/>
    <w:rsid w:val="199A2059"/>
    <w:rsid w:val="19AB17B8"/>
    <w:rsid w:val="19AE76C7"/>
    <w:rsid w:val="19B12B49"/>
    <w:rsid w:val="19B46E10"/>
    <w:rsid w:val="19B85F6A"/>
    <w:rsid w:val="19C1344A"/>
    <w:rsid w:val="19C456C1"/>
    <w:rsid w:val="19E01EB0"/>
    <w:rsid w:val="19E256B5"/>
    <w:rsid w:val="19E31BCE"/>
    <w:rsid w:val="19E54655"/>
    <w:rsid w:val="19F061A1"/>
    <w:rsid w:val="1A054259"/>
    <w:rsid w:val="1A081816"/>
    <w:rsid w:val="1A0C5680"/>
    <w:rsid w:val="1A165171"/>
    <w:rsid w:val="1A300FA7"/>
    <w:rsid w:val="1A3068A4"/>
    <w:rsid w:val="1A464B4E"/>
    <w:rsid w:val="1A4858FF"/>
    <w:rsid w:val="1A4C698A"/>
    <w:rsid w:val="1A4D778D"/>
    <w:rsid w:val="1A5048C3"/>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9645D"/>
    <w:rsid w:val="1ADD5ACE"/>
    <w:rsid w:val="1AE013F8"/>
    <w:rsid w:val="1AE8570C"/>
    <w:rsid w:val="1AE93611"/>
    <w:rsid w:val="1AF7297B"/>
    <w:rsid w:val="1AF97DCC"/>
    <w:rsid w:val="1AFB06A3"/>
    <w:rsid w:val="1B062896"/>
    <w:rsid w:val="1B0F19AE"/>
    <w:rsid w:val="1B141BBC"/>
    <w:rsid w:val="1B2160BB"/>
    <w:rsid w:val="1B3637AD"/>
    <w:rsid w:val="1B3E0DB5"/>
    <w:rsid w:val="1B454C94"/>
    <w:rsid w:val="1B5D79CB"/>
    <w:rsid w:val="1B6B769D"/>
    <w:rsid w:val="1B6C0DF0"/>
    <w:rsid w:val="1B7F6005"/>
    <w:rsid w:val="1B9C269A"/>
    <w:rsid w:val="1B9E29DC"/>
    <w:rsid w:val="1B9E64C5"/>
    <w:rsid w:val="1B9E6D4C"/>
    <w:rsid w:val="1BB04002"/>
    <w:rsid w:val="1BB07CEA"/>
    <w:rsid w:val="1BB441C7"/>
    <w:rsid w:val="1BBD43BA"/>
    <w:rsid w:val="1BC01115"/>
    <w:rsid w:val="1BC44015"/>
    <w:rsid w:val="1BCA6284"/>
    <w:rsid w:val="1BCC6C47"/>
    <w:rsid w:val="1BCD3C69"/>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04D40"/>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CFB7CF4"/>
    <w:rsid w:val="1D037029"/>
    <w:rsid w:val="1D0A6B98"/>
    <w:rsid w:val="1D3305FF"/>
    <w:rsid w:val="1D395282"/>
    <w:rsid w:val="1D4251BA"/>
    <w:rsid w:val="1D5B2FF2"/>
    <w:rsid w:val="1D5F5386"/>
    <w:rsid w:val="1D7072CE"/>
    <w:rsid w:val="1D794A16"/>
    <w:rsid w:val="1D8A021B"/>
    <w:rsid w:val="1D9E080A"/>
    <w:rsid w:val="1D9E30A9"/>
    <w:rsid w:val="1DAB1006"/>
    <w:rsid w:val="1DAB2A0A"/>
    <w:rsid w:val="1DB33C11"/>
    <w:rsid w:val="1DC1473D"/>
    <w:rsid w:val="1DC65562"/>
    <w:rsid w:val="1DD34749"/>
    <w:rsid w:val="1DDD201B"/>
    <w:rsid w:val="1DE87BD8"/>
    <w:rsid w:val="1DE94164"/>
    <w:rsid w:val="1DEE1B11"/>
    <w:rsid w:val="1E105A20"/>
    <w:rsid w:val="1E164B52"/>
    <w:rsid w:val="1E1B471E"/>
    <w:rsid w:val="1E2071EC"/>
    <w:rsid w:val="1E273844"/>
    <w:rsid w:val="1E2F243E"/>
    <w:rsid w:val="1E3B4F6B"/>
    <w:rsid w:val="1E455D19"/>
    <w:rsid w:val="1E595CAF"/>
    <w:rsid w:val="1E5C31E8"/>
    <w:rsid w:val="1E6607F9"/>
    <w:rsid w:val="1E691070"/>
    <w:rsid w:val="1E7A2E8E"/>
    <w:rsid w:val="1E7E6BFD"/>
    <w:rsid w:val="1E805396"/>
    <w:rsid w:val="1E821B53"/>
    <w:rsid w:val="1E884F62"/>
    <w:rsid w:val="1E8D685D"/>
    <w:rsid w:val="1E9D6342"/>
    <w:rsid w:val="1E9D6D15"/>
    <w:rsid w:val="1EA77730"/>
    <w:rsid w:val="1EBD1EAD"/>
    <w:rsid w:val="1EC36E9D"/>
    <w:rsid w:val="1EE25FDD"/>
    <w:rsid w:val="1EE73282"/>
    <w:rsid w:val="1EEF7878"/>
    <w:rsid w:val="1EF5103F"/>
    <w:rsid w:val="1EFF621F"/>
    <w:rsid w:val="1F090F9B"/>
    <w:rsid w:val="1F0A0088"/>
    <w:rsid w:val="1F0E5D6B"/>
    <w:rsid w:val="1F0F2943"/>
    <w:rsid w:val="1F1420D0"/>
    <w:rsid w:val="1F194C88"/>
    <w:rsid w:val="1F343977"/>
    <w:rsid w:val="1F3849A2"/>
    <w:rsid w:val="1F3E662A"/>
    <w:rsid w:val="1F4F2219"/>
    <w:rsid w:val="1F614D01"/>
    <w:rsid w:val="1F721405"/>
    <w:rsid w:val="1F935819"/>
    <w:rsid w:val="1FA6556D"/>
    <w:rsid w:val="1FAF2571"/>
    <w:rsid w:val="1FC55EDA"/>
    <w:rsid w:val="1FCE593C"/>
    <w:rsid w:val="1FE312AC"/>
    <w:rsid w:val="1FE72384"/>
    <w:rsid w:val="1FEC5915"/>
    <w:rsid w:val="1FED32EF"/>
    <w:rsid w:val="1FF82884"/>
    <w:rsid w:val="201E6D7C"/>
    <w:rsid w:val="20320DD3"/>
    <w:rsid w:val="20446081"/>
    <w:rsid w:val="204852AD"/>
    <w:rsid w:val="204A6449"/>
    <w:rsid w:val="204E2DB5"/>
    <w:rsid w:val="204E6676"/>
    <w:rsid w:val="205230A0"/>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35A8"/>
    <w:rsid w:val="21124D15"/>
    <w:rsid w:val="21164A79"/>
    <w:rsid w:val="211C7DEA"/>
    <w:rsid w:val="213844A1"/>
    <w:rsid w:val="213B13E1"/>
    <w:rsid w:val="213E7119"/>
    <w:rsid w:val="21401C29"/>
    <w:rsid w:val="21530058"/>
    <w:rsid w:val="21567D84"/>
    <w:rsid w:val="216608E3"/>
    <w:rsid w:val="21810744"/>
    <w:rsid w:val="218D6EF5"/>
    <w:rsid w:val="2195668B"/>
    <w:rsid w:val="219F69EC"/>
    <w:rsid w:val="21A130EA"/>
    <w:rsid w:val="21AD2FE9"/>
    <w:rsid w:val="21B5366A"/>
    <w:rsid w:val="21C267BF"/>
    <w:rsid w:val="21CD2B69"/>
    <w:rsid w:val="21CD6BCD"/>
    <w:rsid w:val="21CE6067"/>
    <w:rsid w:val="21CF439A"/>
    <w:rsid w:val="21D824E4"/>
    <w:rsid w:val="21F00127"/>
    <w:rsid w:val="21F7745C"/>
    <w:rsid w:val="22062135"/>
    <w:rsid w:val="22163676"/>
    <w:rsid w:val="221D2FA3"/>
    <w:rsid w:val="2226635F"/>
    <w:rsid w:val="222D4F0B"/>
    <w:rsid w:val="223A29CF"/>
    <w:rsid w:val="223D7545"/>
    <w:rsid w:val="22411D14"/>
    <w:rsid w:val="22423BE1"/>
    <w:rsid w:val="22454449"/>
    <w:rsid w:val="22500810"/>
    <w:rsid w:val="225D0B63"/>
    <w:rsid w:val="226347BD"/>
    <w:rsid w:val="22682935"/>
    <w:rsid w:val="227D292C"/>
    <w:rsid w:val="227E7CD6"/>
    <w:rsid w:val="228208EE"/>
    <w:rsid w:val="228A4698"/>
    <w:rsid w:val="22925971"/>
    <w:rsid w:val="22943633"/>
    <w:rsid w:val="22945167"/>
    <w:rsid w:val="229B0BE2"/>
    <w:rsid w:val="22A55CD5"/>
    <w:rsid w:val="22C33C98"/>
    <w:rsid w:val="22C558BB"/>
    <w:rsid w:val="22C74EE2"/>
    <w:rsid w:val="22CB6237"/>
    <w:rsid w:val="22CD14B5"/>
    <w:rsid w:val="22E02C6E"/>
    <w:rsid w:val="22E04FF4"/>
    <w:rsid w:val="22E1121B"/>
    <w:rsid w:val="22E80B63"/>
    <w:rsid w:val="22EA4C70"/>
    <w:rsid w:val="22EC26FB"/>
    <w:rsid w:val="22F15AB9"/>
    <w:rsid w:val="22F22242"/>
    <w:rsid w:val="22F52016"/>
    <w:rsid w:val="22F75251"/>
    <w:rsid w:val="22F86F75"/>
    <w:rsid w:val="22FB4D32"/>
    <w:rsid w:val="22FC72E3"/>
    <w:rsid w:val="23106C6B"/>
    <w:rsid w:val="23131055"/>
    <w:rsid w:val="232C2DD6"/>
    <w:rsid w:val="233C6F76"/>
    <w:rsid w:val="234449F5"/>
    <w:rsid w:val="23536618"/>
    <w:rsid w:val="236C1BCA"/>
    <w:rsid w:val="237464D5"/>
    <w:rsid w:val="23816932"/>
    <w:rsid w:val="23866407"/>
    <w:rsid w:val="23915A4A"/>
    <w:rsid w:val="23925D42"/>
    <w:rsid w:val="239C062C"/>
    <w:rsid w:val="23A9484E"/>
    <w:rsid w:val="23B32F98"/>
    <w:rsid w:val="23B84268"/>
    <w:rsid w:val="23D17D7B"/>
    <w:rsid w:val="23D36D91"/>
    <w:rsid w:val="23D552C7"/>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A96429"/>
    <w:rsid w:val="24B9450F"/>
    <w:rsid w:val="24C25350"/>
    <w:rsid w:val="24C83F94"/>
    <w:rsid w:val="24C84F1F"/>
    <w:rsid w:val="24D82EE2"/>
    <w:rsid w:val="24F60CDA"/>
    <w:rsid w:val="24FE42EB"/>
    <w:rsid w:val="25090336"/>
    <w:rsid w:val="250D450C"/>
    <w:rsid w:val="25134332"/>
    <w:rsid w:val="25141A5B"/>
    <w:rsid w:val="2521546A"/>
    <w:rsid w:val="252242ED"/>
    <w:rsid w:val="252A2BA6"/>
    <w:rsid w:val="252B49E0"/>
    <w:rsid w:val="252D3CC1"/>
    <w:rsid w:val="254A35DD"/>
    <w:rsid w:val="255B032D"/>
    <w:rsid w:val="25657E8F"/>
    <w:rsid w:val="256647BF"/>
    <w:rsid w:val="25691F8B"/>
    <w:rsid w:val="256E76DE"/>
    <w:rsid w:val="25726706"/>
    <w:rsid w:val="25734B61"/>
    <w:rsid w:val="258F6BC4"/>
    <w:rsid w:val="2597510C"/>
    <w:rsid w:val="25975923"/>
    <w:rsid w:val="259A3D0A"/>
    <w:rsid w:val="25A657D8"/>
    <w:rsid w:val="25A95F3E"/>
    <w:rsid w:val="25BF0CF9"/>
    <w:rsid w:val="25BF6041"/>
    <w:rsid w:val="25C35718"/>
    <w:rsid w:val="25C61D8C"/>
    <w:rsid w:val="25C8433B"/>
    <w:rsid w:val="25CF0252"/>
    <w:rsid w:val="25D0248E"/>
    <w:rsid w:val="25D61C5C"/>
    <w:rsid w:val="25F81D70"/>
    <w:rsid w:val="25FB5636"/>
    <w:rsid w:val="25FE58A9"/>
    <w:rsid w:val="25FE7550"/>
    <w:rsid w:val="26006FFE"/>
    <w:rsid w:val="26026DCF"/>
    <w:rsid w:val="26070462"/>
    <w:rsid w:val="260C70BF"/>
    <w:rsid w:val="260D2C45"/>
    <w:rsid w:val="262314E8"/>
    <w:rsid w:val="262E3CBF"/>
    <w:rsid w:val="26395C92"/>
    <w:rsid w:val="2641231E"/>
    <w:rsid w:val="26412550"/>
    <w:rsid w:val="264252DF"/>
    <w:rsid w:val="26465DA0"/>
    <w:rsid w:val="26562F1C"/>
    <w:rsid w:val="265A5249"/>
    <w:rsid w:val="26616958"/>
    <w:rsid w:val="266237C3"/>
    <w:rsid w:val="266E5EEF"/>
    <w:rsid w:val="267550B9"/>
    <w:rsid w:val="26945790"/>
    <w:rsid w:val="269A0B67"/>
    <w:rsid w:val="26A97E18"/>
    <w:rsid w:val="26BA0454"/>
    <w:rsid w:val="26BE1846"/>
    <w:rsid w:val="26C472EC"/>
    <w:rsid w:val="26C976F9"/>
    <w:rsid w:val="26CC63A2"/>
    <w:rsid w:val="26E51F4F"/>
    <w:rsid w:val="26EC491A"/>
    <w:rsid w:val="26ED73E1"/>
    <w:rsid w:val="26F503CD"/>
    <w:rsid w:val="26FE54FD"/>
    <w:rsid w:val="27036506"/>
    <w:rsid w:val="27047832"/>
    <w:rsid w:val="2706037D"/>
    <w:rsid w:val="270D152E"/>
    <w:rsid w:val="27204B5D"/>
    <w:rsid w:val="27257DE1"/>
    <w:rsid w:val="272F31A0"/>
    <w:rsid w:val="27310CAC"/>
    <w:rsid w:val="27342901"/>
    <w:rsid w:val="273D2762"/>
    <w:rsid w:val="273D5D0B"/>
    <w:rsid w:val="27470B72"/>
    <w:rsid w:val="2747214F"/>
    <w:rsid w:val="27525E32"/>
    <w:rsid w:val="275359B6"/>
    <w:rsid w:val="27604751"/>
    <w:rsid w:val="276D111F"/>
    <w:rsid w:val="2778582E"/>
    <w:rsid w:val="27806765"/>
    <w:rsid w:val="27821DE7"/>
    <w:rsid w:val="27832596"/>
    <w:rsid w:val="278C1620"/>
    <w:rsid w:val="279B1E53"/>
    <w:rsid w:val="27AA3521"/>
    <w:rsid w:val="27AB7429"/>
    <w:rsid w:val="27B40ACB"/>
    <w:rsid w:val="27BE2941"/>
    <w:rsid w:val="27C46B1C"/>
    <w:rsid w:val="27C57B2B"/>
    <w:rsid w:val="27C8029E"/>
    <w:rsid w:val="27CC78AC"/>
    <w:rsid w:val="27D72FE7"/>
    <w:rsid w:val="27D86029"/>
    <w:rsid w:val="27DD45ED"/>
    <w:rsid w:val="27DF41DE"/>
    <w:rsid w:val="27E3651B"/>
    <w:rsid w:val="27E864CC"/>
    <w:rsid w:val="27EC25E3"/>
    <w:rsid w:val="27EC463C"/>
    <w:rsid w:val="27ED0939"/>
    <w:rsid w:val="27F1498B"/>
    <w:rsid w:val="27F47299"/>
    <w:rsid w:val="27F80CA0"/>
    <w:rsid w:val="28027A71"/>
    <w:rsid w:val="281D5376"/>
    <w:rsid w:val="281F4F67"/>
    <w:rsid w:val="282665C5"/>
    <w:rsid w:val="282857E6"/>
    <w:rsid w:val="283412EF"/>
    <w:rsid w:val="283744B4"/>
    <w:rsid w:val="283A5551"/>
    <w:rsid w:val="283E7768"/>
    <w:rsid w:val="28485D62"/>
    <w:rsid w:val="28517107"/>
    <w:rsid w:val="28524ABE"/>
    <w:rsid w:val="285560D7"/>
    <w:rsid w:val="285729E6"/>
    <w:rsid w:val="286E74F1"/>
    <w:rsid w:val="28760CA0"/>
    <w:rsid w:val="287B218C"/>
    <w:rsid w:val="288A05DD"/>
    <w:rsid w:val="288C7637"/>
    <w:rsid w:val="28937D89"/>
    <w:rsid w:val="289B0550"/>
    <w:rsid w:val="28BD3F79"/>
    <w:rsid w:val="28C8606D"/>
    <w:rsid w:val="28C96C14"/>
    <w:rsid w:val="28DE11F1"/>
    <w:rsid w:val="28E138E3"/>
    <w:rsid w:val="28E74216"/>
    <w:rsid w:val="28E87EE4"/>
    <w:rsid w:val="28EE1AFF"/>
    <w:rsid w:val="290212AC"/>
    <w:rsid w:val="2903396A"/>
    <w:rsid w:val="29086A76"/>
    <w:rsid w:val="29423806"/>
    <w:rsid w:val="294D775A"/>
    <w:rsid w:val="294E766A"/>
    <w:rsid w:val="29502116"/>
    <w:rsid w:val="2952590A"/>
    <w:rsid w:val="297161D3"/>
    <w:rsid w:val="2978319A"/>
    <w:rsid w:val="29885982"/>
    <w:rsid w:val="29886D49"/>
    <w:rsid w:val="29897A2F"/>
    <w:rsid w:val="299114C1"/>
    <w:rsid w:val="29A015B3"/>
    <w:rsid w:val="29A02DFF"/>
    <w:rsid w:val="29A3014B"/>
    <w:rsid w:val="29A74CBD"/>
    <w:rsid w:val="29A80BF5"/>
    <w:rsid w:val="29B01C34"/>
    <w:rsid w:val="29B16357"/>
    <w:rsid w:val="29BA0D88"/>
    <w:rsid w:val="29BB3E72"/>
    <w:rsid w:val="29CF32B2"/>
    <w:rsid w:val="29DE15A2"/>
    <w:rsid w:val="29E52B9B"/>
    <w:rsid w:val="29EC475A"/>
    <w:rsid w:val="29EF3680"/>
    <w:rsid w:val="29EF424E"/>
    <w:rsid w:val="29FA7F26"/>
    <w:rsid w:val="2A08798F"/>
    <w:rsid w:val="2A0B7871"/>
    <w:rsid w:val="2A166823"/>
    <w:rsid w:val="2A1D7380"/>
    <w:rsid w:val="2A281D4E"/>
    <w:rsid w:val="2A30732A"/>
    <w:rsid w:val="2A35650F"/>
    <w:rsid w:val="2A405845"/>
    <w:rsid w:val="2A4562D4"/>
    <w:rsid w:val="2A4D593F"/>
    <w:rsid w:val="2A6C2D77"/>
    <w:rsid w:val="2A6E31F8"/>
    <w:rsid w:val="2A7270B7"/>
    <w:rsid w:val="2A87174E"/>
    <w:rsid w:val="2A8A2F9C"/>
    <w:rsid w:val="2A917BFC"/>
    <w:rsid w:val="2AA33701"/>
    <w:rsid w:val="2AA45D17"/>
    <w:rsid w:val="2AAB3B94"/>
    <w:rsid w:val="2AAC5A06"/>
    <w:rsid w:val="2ABB3D6F"/>
    <w:rsid w:val="2AC70B30"/>
    <w:rsid w:val="2ACC2AAF"/>
    <w:rsid w:val="2AD26C78"/>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B0D49"/>
    <w:rsid w:val="2B5E6C2A"/>
    <w:rsid w:val="2B63655C"/>
    <w:rsid w:val="2B637D4B"/>
    <w:rsid w:val="2B6B1684"/>
    <w:rsid w:val="2B7B70BF"/>
    <w:rsid w:val="2B853AF3"/>
    <w:rsid w:val="2B8B422C"/>
    <w:rsid w:val="2BA07D38"/>
    <w:rsid w:val="2BAB2B55"/>
    <w:rsid w:val="2BC40957"/>
    <w:rsid w:val="2BCB5DAA"/>
    <w:rsid w:val="2BD65380"/>
    <w:rsid w:val="2BD86372"/>
    <w:rsid w:val="2BDA39FD"/>
    <w:rsid w:val="2BDF1F35"/>
    <w:rsid w:val="2BE725D0"/>
    <w:rsid w:val="2BF369B9"/>
    <w:rsid w:val="2BFC0A4A"/>
    <w:rsid w:val="2C094904"/>
    <w:rsid w:val="2C0E55A1"/>
    <w:rsid w:val="2C2C0AC3"/>
    <w:rsid w:val="2C347A9C"/>
    <w:rsid w:val="2C3A7BF6"/>
    <w:rsid w:val="2C425BCE"/>
    <w:rsid w:val="2C44676A"/>
    <w:rsid w:val="2C495C38"/>
    <w:rsid w:val="2C4A080C"/>
    <w:rsid w:val="2C4E77B9"/>
    <w:rsid w:val="2C54533B"/>
    <w:rsid w:val="2C591378"/>
    <w:rsid w:val="2C7341B8"/>
    <w:rsid w:val="2C797A76"/>
    <w:rsid w:val="2C8B6C0E"/>
    <w:rsid w:val="2C8F4862"/>
    <w:rsid w:val="2C921C34"/>
    <w:rsid w:val="2C9E5AC8"/>
    <w:rsid w:val="2CA2721B"/>
    <w:rsid w:val="2CAC6D87"/>
    <w:rsid w:val="2CB268EE"/>
    <w:rsid w:val="2CB600FC"/>
    <w:rsid w:val="2CCB6E18"/>
    <w:rsid w:val="2CE8526F"/>
    <w:rsid w:val="2CEF7A51"/>
    <w:rsid w:val="2D026315"/>
    <w:rsid w:val="2D0764BD"/>
    <w:rsid w:val="2D0A3DA2"/>
    <w:rsid w:val="2D0B3169"/>
    <w:rsid w:val="2D0D4219"/>
    <w:rsid w:val="2D105AFA"/>
    <w:rsid w:val="2D2279B8"/>
    <w:rsid w:val="2D241EC9"/>
    <w:rsid w:val="2D274320"/>
    <w:rsid w:val="2D2D2DE2"/>
    <w:rsid w:val="2D324CCC"/>
    <w:rsid w:val="2D340E86"/>
    <w:rsid w:val="2D395427"/>
    <w:rsid w:val="2D3D0E02"/>
    <w:rsid w:val="2D5154CA"/>
    <w:rsid w:val="2D5436FA"/>
    <w:rsid w:val="2D576534"/>
    <w:rsid w:val="2D59263A"/>
    <w:rsid w:val="2D620933"/>
    <w:rsid w:val="2D62469E"/>
    <w:rsid w:val="2D6B40A9"/>
    <w:rsid w:val="2D7F2BE1"/>
    <w:rsid w:val="2D8A3FA2"/>
    <w:rsid w:val="2D910146"/>
    <w:rsid w:val="2D9767DC"/>
    <w:rsid w:val="2D980DDC"/>
    <w:rsid w:val="2D987372"/>
    <w:rsid w:val="2DA23689"/>
    <w:rsid w:val="2DBC2A76"/>
    <w:rsid w:val="2DBD126E"/>
    <w:rsid w:val="2DC20BE9"/>
    <w:rsid w:val="2DC66A91"/>
    <w:rsid w:val="2DC92AA1"/>
    <w:rsid w:val="2DCE5F69"/>
    <w:rsid w:val="2DD51812"/>
    <w:rsid w:val="2DD63DB4"/>
    <w:rsid w:val="2DDD4F0A"/>
    <w:rsid w:val="2E147A92"/>
    <w:rsid w:val="2E1942E6"/>
    <w:rsid w:val="2E34792A"/>
    <w:rsid w:val="2E415DD8"/>
    <w:rsid w:val="2E437E73"/>
    <w:rsid w:val="2E453016"/>
    <w:rsid w:val="2E4A5201"/>
    <w:rsid w:val="2E5034DC"/>
    <w:rsid w:val="2E572AB9"/>
    <w:rsid w:val="2E6C1B62"/>
    <w:rsid w:val="2E7258DC"/>
    <w:rsid w:val="2E7545D2"/>
    <w:rsid w:val="2E79458E"/>
    <w:rsid w:val="2E797A78"/>
    <w:rsid w:val="2E7A5F31"/>
    <w:rsid w:val="2E7C6A94"/>
    <w:rsid w:val="2E8321A5"/>
    <w:rsid w:val="2E882F25"/>
    <w:rsid w:val="2E8D14A8"/>
    <w:rsid w:val="2E95430E"/>
    <w:rsid w:val="2E9F6D95"/>
    <w:rsid w:val="2EAE350B"/>
    <w:rsid w:val="2EB20A6C"/>
    <w:rsid w:val="2EBC2287"/>
    <w:rsid w:val="2EC3466D"/>
    <w:rsid w:val="2EC44440"/>
    <w:rsid w:val="2ECA3116"/>
    <w:rsid w:val="2EDC7B3B"/>
    <w:rsid w:val="2EDD7896"/>
    <w:rsid w:val="2EEA6E65"/>
    <w:rsid w:val="2EF33C7C"/>
    <w:rsid w:val="2F00052B"/>
    <w:rsid w:val="2F0367CD"/>
    <w:rsid w:val="2F1251F2"/>
    <w:rsid w:val="2F205B1F"/>
    <w:rsid w:val="2F2D445E"/>
    <w:rsid w:val="2F4205B6"/>
    <w:rsid w:val="2F4B20A5"/>
    <w:rsid w:val="2F4F6FBB"/>
    <w:rsid w:val="2F664E2B"/>
    <w:rsid w:val="2F6C7BE3"/>
    <w:rsid w:val="2F783485"/>
    <w:rsid w:val="2F7A17CB"/>
    <w:rsid w:val="2F7F5C0B"/>
    <w:rsid w:val="2FA6492D"/>
    <w:rsid w:val="2FC86676"/>
    <w:rsid w:val="2FD17A1B"/>
    <w:rsid w:val="2FD71CA4"/>
    <w:rsid w:val="2FDC4A8D"/>
    <w:rsid w:val="2FEA743A"/>
    <w:rsid w:val="2FF24D11"/>
    <w:rsid w:val="2FF93066"/>
    <w:rsid w:val="30022F46"/>
    <w:rsid w:val="300D2E03"/>
    <w:rsid w:val="301742B2"/>
    <w:rsid w:val="301A1509"/>
    <w:rsid w:val="301A71CE"/>
    <w:rsid w:val="301D63DD"/>
    <w:rsid w:val="301E049B"/>
    <w:rsid w:val="302A4BE6"/>
    <w:rsid w:val="30383A69"/>
    <w:rsid w:val="303E0D88"/>
    <w:rsid w:val="304478EC"/>
    <w:rsid w:val="304F4511"/>
    <w:rsid w:val="30515C8E"/>
    <w:rsid w:val="305823FF"/>
    <w:rsid w:val="306D198B"/>
    <w:rsid w:val="307C2420"/>
    <w:rsid w:val="30926F91"/>
    <w:rsid w:val="30962F3E"/>
    <w:rsid w:val="30A85733"/>
    <w:rsid w:val="30AA2585"/>
    <w:rsid w:val="30B07FAB"/>
    <w:rsid w:val="30C16A19"/>
    <w:rsid w:val="30C262B6"/>
    <w:rsid w:val="30CB5800"/>
    <w:rsid w:val="30D32236"/>
    <w:rsid w:val="30DE2E53"/>
    <w:rsid w:val="30E43E12"/>
    <w:rsid w:val="30E8513F"/>
    <w:rsid w:val="30FA7530"/>
    <w:rsid w:val="30FF2795"/>
    <w:rsid w:val="31015E30"/>
    <w:rsid w:val="310375CD"/>
    <w:rsid w:val="31042386"/>
    <w:rsid w:val="310854C5"/>
    <w:rsid w:val="310E6387"/>
    <w:rsid w:val="311611B3"/>
    <w:rsid w:val="311F6A53"/>
    <w:rsid w:val="312734EB"/>
    <w:rsid w:val="313C313D"/>
    <w:rsid w:val="313F6DC6"/>
    <w:rsid w:val="314E236F"/>
    <w:rsid w:val="3153321D"/>
    <w:rsid w:val="315C5815"/>
    <w:rsid w:val="315E0B07"/>
    <w:rsid w:val="31621F46"/>
    <w:rsid w:val="316A723C"/>
    <w:rsid w:val="316E7CA0"/>
    <w:rsid w:val="316F459E"/>
    <w:rsid w:val="317206BF"/>
    <w:rsid w:val="317932EA"/>
    <w:rsid w:val="317E5000"/>
    <w:rsid w:val="3186012A"/>
    <w:rsid w:val="31870868"/>
    <w:rsid w:val="31875BB4"/>
    <w:rsid w:val="31B718F2"/>
    <w:rsid w:val="31BD4069"/>
    <w:rsid w:val="31C57B88"/>
    <w:rsid w:val="31D20051"/>
    <w:rsid w:val="31E745D2"/>
    <w:rsid w:val="31E87D92"/>
    <w:rsid w:val="31EF7EE8"/>
    <w:rsid w:val="3201404F"/>
    <w:rsid w:val="32051680"/>
    <w:rsid w:val="3208253C"/>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9E4826"/>
    <w:rsid w:val="32A145CA"/>
    <w:rsid w:val="32A230DB"/>
    <w:rsid w:val="32AD0CA5"/>
    <w:rsid w:val="32BD5148"/>
    <w:rsid w:val="32C27AB5"/>
    <w:rsid w:val="32DF0647"/>
    <w:rsid w:val="32DF351E"/>
    <w:rsid w:val="32EA3DF5"/>
    <w:rsid w:val="32EE5E41"/>
    <w:rsid w:val="32F1510B"/>
    <w:rsid w:val="32F40F87"/>
    <w:rsid w:val="32F520B9"/>
    <w:rsid w:val="32FD7C76"/>
    <w:rsid w:val="330C22FC"/>
    <w:rsid w:val="33540E5D"/>
    <w:rsid w:val="335659F7"/>
    <w:rsid w:val="335A0521"/>
    <w:rsid w:val="335E7B11"/>
    <w:rsid w:val="3364318B"/>
    <w:rsid w:val="33691888"/>
    <w:rsid w:val="336A499A"/>
    <w:rsid w:val="33714830"/>
    <w:rsid w:val="33737F51"/>
    <w:rsid w:val="337964FF"/>
    <w:rsid w:val="337D34FB"/>
    <w:rsid w:val="337E2DAF"/>
    <w:rsid w:val="33831AB1"/>
    <w:rsid w:val="33A47053"/>
    <w:rsid w:val="33AD5111"/>
    <w:rsid w:val="33B52005"/>
    <w:rsid w:val="33BF4199"/>
    <w:rsid w:val="33CD23A8"/>
    <w:rsid w:val="33CD6498"/>
    <w:rsid w:val="33D7554F"/>
    <w:rsid w:val="33FE62E7"/>
    <w:rsid w:val="340523CF"/>
    <w:rsid w:val="34080399"/>
    <w:rsid w:val="340D25F6"/>
    <w:rsid w:val="341E19AD"/>
    <w:rsid w:val="3429226D"/>
    <w:rsid w:val="342B76C7"/>
    <w:rsid w:val="343A1527"/>
    <w:rsid w:val="343B156D"/>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00879"/>
    <w:rsid w:val="34B076D4"/>
    <w:rsid w:val="34B43603"/>
    <w:rsid w:val="34BD02AE"/>
    <w:rsid w:val="34C20DC7"/>
    <w:rsid w:val="34D36FFC"/>
    <w:rsid w:val="34DA26A8"/>
    <w:rsid w:val="34DE2B9F"/>
    <w:rsid w:val="34DF0124"/>
    <w:rsid w:val="34E145D2"/>
    <w:rsid w:val="34E75EA5"/>
    <w:rsid w:val="34E960F1"/>
    <w:rsid w:val="350B42D5"/>
    <w:rsid w:val="350F6258"/>
    <w:rsid w:val="351A603C"/>
    <w:rsid w:val="3523123C"/>
    <w:rsid w:val="352821F6"/>
    <w:rsid w:val="3533698A"/>
    <w:rsid w:val="35387F19"/>
    <w:rsid w:val="3539550B"/>
    <w:rsid w:val="354D5E0E"/>
    <w:rsid w:val="35505B19"/>
    <w:rsid w:val="355D10E3"/>
    <w:rsid w:val="356150BC"/>
    <w:rsid w:val="356678B4"/>
    <w:rsid w:val="3573649F"/>
    <w:rsid w:val="357E4B0A"/>
    <w:rsid w:val="35866D7F"/>
    <w:rsid w:val="358A5060"/>
    <w:rsid w:val="358B40FF"/>
    <w:rsid w:val="358F6BDF"/>
    <w:rsid w:val="35940A95"/>
    <w:rsid w:val="35992A8A"/>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590D92"/>
    <w:rsid w:val="366B1251"/>
    <w:rsid w:val="366C7E67"/>
    <w:rsid w:val="368230C6"/>
    <w:rsid w:val="36843A03"/>
    <w:rsid w:val="368F7E4F"/>
    <w:rsid w:val="36985297"/>
    <w:rsid w:val="369F633B"/>
    <w:rsid w:val="36A30FDB"/>
    <w:rsid w:val="36A7007C"/>
    <w:rsid w:val="36A80350"/>
    <w:rsid w:val="36B24AE8"/>
    <w:rsid w:val="36BD0DC4"/>
    <w:rsid w:val="36D51D00"/>
    <w:rsid w:val="36D66B5E"/>
    <w:rsid w:val="36D86634"/>
    <w:rsid w:val="36DE4AF9"/>
    <w:rsid w:val="36E93760"/>
    <w:rsid w:val="36F4550C"/>
    <w:rsid w:val="36FB4305"/>
    <w:rsid w:val="36FF127F"/>
    <w:rsid w:val="3708597F"/>
    <w:rsid w:val="3709624C"/>
    <w:rsid w:val="37096815"/>
    <w:rsid w:val="37097A47"/>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70C02"/>
    <w:rsid w:val="37987437"/>
    <w:rsid w:val="379B7702"/>
    <w:rsid w:val="379F33FC"/>
    <w:rsid w:val="37A432E4"/>
    <w:rsid w:val="37A86196"/>
    <w:rsid w:val="37B143B8"/>
    <w:rsid w:val="37C94031"/>
    <w:rsid w:val="37CA042E"/>
    <w:rsid w:val="37D44549"/>
    <w:rsid w:val="37D77B09"/>
    <w:rsid w:val="37D97EDE"/>
    <w:rsid w:val="37E76E34"/>
    <w:rsid w:val="3804769B"/>
    <w:rsid w:val="380632B2"/>
    <w:rsid w:val="380D02B1"/>
    <w:rsid w:val="381C3EB1"/>
    <w:rsid w:val="382B1BDF"/>
    <w:rsid w:val="382E392C"/>
    <w:rsid w:val="38342E90"/>
    <w:rsid w:val="383857D1"/>
    <w:rsid w:val="383F4C0F"/>
    <w:rsid w:val="38432A4A"/>
    <w:rsid w:val="38451B7E"/>
    <w:rsid w:val="384B7332"/>
    <w:rsid w:val="385056AF"/>
    <w:rsid w:val="386A7142"/>
    <w:rsid w:val="386E0B2C"/>
    <w:rsid w:val="38706DCB"/>
    <w:rsid w:val="388E5848"/>
    <w:rsid w:val="388F0D45"/>
    <w:rsid w:val="389E7B13"/>
    <w:rsid w:val="38A341A7"/>
    <w:rsid w:val="38AF6B7E"/>
    <w:rsid w:val="38AF7ADB"/>
    <w:rsid w:val="38B06703"/>
    <w:rsid w:val="38BD240C"/>
    <w:rsid w:val="38BD31EE"/>
    <w:rsid w:val="38C05985"/>
    <w:rsid w:val="38C2629A"/>
    <w:rsid w:val="38C84EEC"/>
    <w:rsid w:val="38CB3BDF"/>
    <w:rsid w:val="38D33D29"/>
    <w:rsid w:val="38D41CCF"/>
    <w:rsid w:val="38E40A5B"/>
    <w:rsid w:val="38E51952"/>
    <w:rsid w:val="38F16A28"/>
    <w:rsid w:val="3913128B"/>
    <w:rsid w:val="391A3359"/>
    <w:rsid w:val="39285D57"/>
    <w:rsid w:val="39315D4D"/>
    <w:rsid w:val="394B6470"/>
    <w:rsid w:val="395C6EA8"/>
    <w:rsid w:val="397D7154"/>
    <w:rsid w:val="39832AC7"/>
    <w:rsid w:val="39872512"/>
    <w:rsid w:val="39A602F9"/>
    <w:rsid w:val="39BD45C8"/>
    <w:rsid w:val="39C2316A"/>
    <w:rsid w:val="39D51A47"/>
    <w:rsid w:val="39D92CB9"/>
    <w:rsid w:val="39F36281"/>
    <w:rsid w:val="39FD376D"/>
    <w:rsid w:val="39FD6C9C"/>
    <w:rsid w:val="3A0224B9"/>
    <w:rsid w:val="3A14011B"/>
    <w:rsid w:val="3A1509F4"/>
    <w:rsid w:val="3A16728B"/>
    <w:rsid w:val="3A16794C"/>
    <w:rsid w:val="3A1F6809"/>
    <w:rsid w:val="3A226969"/>
    <w:rsid w:val="3A333D65"/>
    <w:rsid w:val="3A3C6FD7"/>
    <w:rsid w:val="3A3F47CE"/>
    <w:rsid w:val="3A496CD5"/>
    <w:rsid w:val="3A4E1C5D"/>
    <w:rsid w:val="3A523735"/>
    <w:rsid w:val="3A557AE4"/>
    <w:rsid w:val="3A6A1C93"/>
    <w:rsid w:val="3A6B0F84"/>
    <w:rsid w:val="3A727435"/>
    <w:rsid w:val="3A813EA6"/>
    <w:rsid w:val="3A851263"/>
    <w:rsid w:val="3A8C6A84"/>
    <w:rsid w:val="3A94055A"/>
    <w:rsid w:val="3AB00167"/>
    <w:rsid w:val="3ABD44D8"/>
    <w:rsid w:val="3AC17E3A"/>
    <w:rsid w:val="3ACB5746"/>
    <w:rsid w:val="3ACE209E"/>
    <w:rsid w:val="3AD450E7"/>
    <w:rsid w:val="3ADD2B05"/>
    <w:rsid w:val="3AE36EC1"/>
    <w:rsid w:val="3AE417E3"/>
    <w:rsid w:val="3AE440AF"/>
    <w:rsid w:val="3AF7667E"/>
    <w:rsid w:val="3B113F51"/>
    <w:rsid w:val="3B187FAE"/>
    <w:rsid w:val="3B192990"/>
    <w:rsid w:val="3B251957"/>
    <w:rsid w:val="3B2840EC"/>
    <w:rsid w:val="3B2D3716"/>
    <w:rsid w:val="3B307112"/>
    <w:rsid w:val="3B307FDD"/>
    <w:rsid w:val="3B3E5BDD"/>
    <w:rsid w:val="3B552653"/>
    <w:rsid w:val="3B5A2A22"/>
    <w:rsid w:val="3B5A76AD"/>
    <w:rsid w:val="3B707794"/>
    <w:rsid w:val="3B7804A3"/>
    <w:rsid w:val="3B8E2153"/>
    <w:rsid w:val="3B9B2072"/>
    <w:rsid w:val="3BA009C3"/>
    <w:rsid w:val="3BA03B83"/>
    <w:rsid w:val="3BA91F03"/>
    <w:rsid w:val="3BB16FA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0E5E61"/>
    <w:rsid w:val="3D115DF3"/>
    <w:rsid w:val="3D31576C"/>
    <w:rsid w:val="3D316CDB"/>
    <w:rsid w:val="3D3A3838"/>
    <w:rsid w:val="3D3D6BBD"/>
    <w:rsid w:val="3D450F8C"/>
    <w:rsid w:val="3D477118"/>
    <w:rsid w:val="3D490F48"/>
    <w:rsid w:val="3D51285A"/>
    <w:rsid w:val="3D594E54"/>
    <w:rsid w:val="3D5F3F8D"/>
    <w:rsid w:val="3D607F0F"/>
    <w:rsid w:val="3D62706F"/>
    <w:rsid w:val="3D6E2272"/>
    <w:rsid w:val="3D7C727A"/>
    <w:rsid w:val="3D81786B"/>
    <w:rsid w:val="3D830417"/>
    <w:rsid w:val="3D873EC9"/>
    <w:rsid w:val="3D877AC5"/>
    <w:rsid w:val="3D882D35"/>
    <w:rsid w:val="3D8D2848"/>
    <w:rsid w:val="3D94235D"/>
    <w:rsid w:val="3D9461E1"/>
    <w:rsid w:val="3D9A681B"/>
    <w:rsid w:val="3D9E1818"/>
    <w:rsid w:val="3DAF37B0"/>
    <w:rsid w:val="3DB0358F"/>
    <w:rsid w:val="3DB34E86"/>
    <w:rsid w:val="3DB4514D"/>
    <w:rsid w:val="3DB80A86"/>
    <w:rsid w:val="3DBE6A34"/>
    <w:rsid w:val="3DC00481"/>
    <w:rsid w:val="3DC03EB2"/>
    <w:rsid w:val="3DDB49F0"/>
    <w:rsid w:val="3DE425C0"/>
    <w:rsid w:val="3DED0F96"/>
    <w:rsid w:val="3DF95812"/>
    <w:rsid w:val="3E0040D9"/>
    <w:rsid w:val="3E080FFB"/>
    <w:rsid w:val="3E1D4B24"/>
    <w:rsid w:val="3E2B5EB7"/>
    <w:rsid w:val="3E314520"/>
    <w:rsid w:val="3E3A04FA"/>
    <w:rsid w:val="3E3D6B96"/>
    <w:rsid w:val="3E441C7D"/>
    <w:rsid w:val="3E490256"/>
    <w:rsid w:val="3E4C2EC5"/>
    <w:rsid w:val="3E55739E"/>
    <w:rsid w:val="3E6C43C8"/>
    <w:rsid w:val="3E745E2A"/>
    <w:rsid w:val="3E8227F0"/>
    <w:rsid w:val="3E937F82"/>
    <w:rsid w:val="3E996E92"/>
    <w:rsid w:val="3E9B4B40"/>
    <w:rsid w:val="3EA21C38"/>
    <w:rsid w:val="3EB36EF2"/>
    <w:rsid w:val="3EB71AC8"/>
    <w:rsid w:val="3EC85E34"/>
    <w:rsid w:val="3ECF2AAC"/>
    <w:rsid w:val="3ED0424C"/>
    <w:rsid w:val="3ED07B7E"/>
    <w:rsid w:val="3EF31E7F"/>
    <w:rsid w:val="3EF36DF0"/>
    <w:rsid w:val="3F035EE1"/>
    <w:rsid w:val="3F05062C"/>
    <w:rsid w:val="3F053EF6"/>
    <w:rsid w:val="3F093188"/>
    <w:rsid w:val="3F0C1E13"/>
    <w:rsid w:val="3F173F6B"/>
    <w:rsid w:val="3F1D3CA7"/>
    <w:rsid w:val="3F1E1DE8"/>
    <w:rsid w:val="3F253B0C"/>
    <w:rsid w:val="3F2C04C4"/>
    <w:rsid w:val="3F3E7C9F"/>
    <w:rsid w:val="3F416B99"/>
    <w:rsid w:val="3F4F5AD7"/>
    <w:rsid w:val="3F643908"/>
    <w:rsid w:val="3F6A46DC"/>
    <w:rsid w:val="3F6B75A6"/>
    <w:rsid w:val="3F884CAB"/>
    <w:rsid w:val="3F8C0A49"/>
    <w:rsid w:val="3F8E7DCD"/>
    <w:rsid w:val="3F913853"/>
    <w:rsid w:val="3F93357F"/>
    <w:rsid w:val="3F9660C3"/>
    <w:rsid w:val="3F9724DD"/>
    <w:rsid w:val="3F9C79E3"/>
    <w:rsid w:val="3FA827ED"/>
    <w:rsid w:val="3FB45C58"/>
    <w:rsid w:val="3FBA1D11"/>
    <w:rsid w:val="3FBF5A94"/>
    <w:rsid w:val="3FC36557"/>
    <w:rsid w:val="3FC43CD0"/>
    <w:rsid w:val="3FC956FF"/>
    <w:rsid w:val="3FD13F50"/>
    <w:rsid w:val="3FDC5F31"/>
    <w:rsid w:val="3FE04625"/>
    <w:rsid w:val="3FE43F69"/>
    <w:rsid w:val="3FE86CE8"/>
    <w:rsid w:val="3FEF3DCD"/>
    <w:rsid w:val="3FF148F7"/>
    <w:rsid w:val="3FF71262"/>
    <w:rsid w:val="3FFB0F66"/>
    <w:rsid w:val="400E6DDA"/>
    <w:rsid w:val="40146E6B"/>
    <w:rsid w:val="40225B50"/>
    <w:rsid w:val="403052F1"/>
    <w:rsid w:val="40330D29"/>
    <w:rsid w:val="403721DB"/>
    <w:rsid w:val="404469FD"/>
    <w:rsid w:val="404A2717"/>
    <w:rsid w:val="404E779F"/>
    <w:rsid w:val="4059090D"/>
    <w:rsid w:val="4065170A"/>
    <w:rsid w:val="406966BC"/>
    <w:rsid w:val="406C4DFB"/>
    <w:rsid w:val="406E5CAB"/>
    <w:rsid w:val="40713C35"/>
    <w:rsid w:val="40823B87"/>
    <w:rsid w:val="408355D6"/>
    <w:rsid w:val="408376F8"/>
    <w:rsid w:val="408F3178"/>
    <w:rsid w:val="40A25054"/>
    <w:rsid w:val="40A325E0"/>
    <w:rsid w:val="40AC3C4B"/>
    <w:rsid w:val="40AE7A15"/>
    <w:rsid w:val="40B41AE2"/>
    <w:rsid w:val="40B7228C"/>
    <w:rsid w:val="40BD0DA1"/>
    <w:rsid w:val="40EC28EE"/>
    <w:rsid w:val="40EC7D18"/>
    <w:rsid w:val="40ED11A0"/>
    <w:rsid w:val="40FD1BF0"/>
    <w:rsid w:val="41015E92"/>
    <w:rsid w:val="41096BC0"/>
    <w:rsid w:val="410A75B6"/>
    <w:rsid w:val="410B452A"/>
    <w:rsid w:val="41141E59"/>
    <w:rsid w:val="41146D26"/>
    <w:rsid w:val="411B6EDC"/>
    <w:rsid w:val="412E5302"/>
    <w:rsid w:val="413353F1"/>
    <w:rsid w:val="413B37AC"/>
    <w:rsid w:val="414C0B0E"/>
    <w:rsid w:val="41513BC9"/>
    <w:rsid w:val="41735B7F"/>
    <w:rsid w:val="419302E2"/>
    <w:rsid w:val="419E558F"/>
    <w:rsid w:val="419E60D3"/>
    <w:rsid w:val="41A339F5"/>
    <w:rsid w:val="41A36C7E"/>
    <w:rsid w:val="41C45B38"/>
    <w:rsid w:val="41C93F6C"/>
    <w:rsid w:val="41D5139D"/>
    <w:rsid w:val="41D75714"/>
    <w:rsid w:val="41DD3BC3"/>
    <w:rsid w:val="41EA5D0A"/>
    <w:rsid w:val="41EE2F03"/>
    <w:rsid w:val="41F466FD"/>
    <w:rsid w:val="42002BC7"/>
    <w:rsid w:val="42026B03"/>
    <w:rsid w:val="420C60D5"/>
    <w:rsid w:val="420D197F"/>
    <w:rsid w:val="42130DE5"/>
    <w:rsid w:val="421502AC"/>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E674DE"/>
    <w:rsid w:val="42EF7E3D"/>
    <w:rsid w:val="42F17BF5"/>
    <w:rsid w:val="42F87EC9"/>
    <w:rsid w:val="42FA45BF"/>
    <w:rsid w:val="43057E25"/>
    <w:rsid w:val="430E7E66"/>
    <w:rsid w:val="43296963"/>
    <w:rsid w:val="4332317A"/>
    <w:rsid w:val="433246A0"/>
    <w:rsid w:val="433A3905"/>
    <w:rsid w:val="433F6B54"/>
    <w:rsid w:val="4346543A"/>
    <w:rsid w:val="43533E29"/>
    <w:rsid w:val="435B1259"/>
    <w:rsid w:val="436263D5"/>
    <w:rsid w:val="436F17E4"/>
    <w:rsid w:val="437556C4"/>
    <w:rsid w:val="438000AC"/>
    <w:rsid w:val="4383474C"/>
    <w:rsid w:val="43874CD4"/>
    <w:rsid w:val="439B699F"/>
    <w:rsid w:val="439D3E18"/>
    <w:rsid w:val="43AD5980"/>
    <w:rsid w:val="43AF2D32"/>
    <w:rsid w:val="43B13512"/>
    <w:rsid w:val="43B76E4F"/>
    <w:rsid w:val="43CF0206"/>
    <w:rsid w:val="43D50BA1"/>
    <w:rsid w:val="43D85D6D"/>
    <w:rsid w:val="43EC6F1F"/>
    <w:rsid w:val="43F31867"/>
    <w:rsid w:val="43FE44BA"/>
    <w:rsid w:val="43FE63A7"/>
    <w:rsid w:val="440D5045"/>
    <w:rsid w:val="440F6C97"/>
    <w:rsid w:val="44200EF1"/>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4F17B41"/>
    <w:rsid w:val="4505281D"/>
    <w:rsid w:val="45162B93"/>
    <w:rsid w:val="45234E43"/>
    <w:rsid w:val="45275172"/>
    <w:rsid w:val="45332511"/>
    <w:rsid w:val="45370B65"/>
    <w:rsid w:val="453F44DA"/>
    <w:rsid w:val="45412C46"/>
    <w:rsid w:val="45514AD5"/>
    <w:rsid w:val="4552412E"/>
    <w:rsid w:val="45570907"/>
    <w:rsid w:val="455908C0"/>
    <w:rsid w:val="45743BE6"/>
    <w:rsid w:val="4575513B"/>
    <w:rsid w:val="45761EDD"/>
    <w:rsid w:val="457A7286"/>
    <w:rsid w:val="457B06AA"/>
    <w:rsid w:val="457C7D39"/>
    <w:rsid w:val="458667C4"/>
    <w:rsid w:val="45876523"/>
    <w:rsid w:val="458C733B"/>
    <w:rsid w:val="458F5163"/>
    <w:rsid w:val="459405E3"/>
    <w:rsid w:val="459C5A47"/>
    <w:rsid w:val="45A82F38"/>
    <w:rsid w:val="45B047D1"/>
    <w:rsid w:val="45B77545"/>
    <w:rsid w:val="45BA2F13"/>
    <w:rsid w:val="45BE6191"/>
    <w:rsid w:val="45BE648C"/>
    <w:rsid w:val="45C36621"/>
    <w:rsid w:val="45C661BC"/>
    <w:rsid w:val="45CA082F"/>
    <w:rsid w:val="45CD2126"/>
    <w:rsid w:val="45CF358A"/>
    <w:rsid w:val="45DD738A"/>
    <w:rsid w:val="45E372CD"/>
    <w:rsid w:val="45FB2D6A"/>
    <w:rsid w:val="46015310"/>
    <w:rsid w:val="460C5979"/>
    <w:rsid w:val="46110AB3"/>
    <w:rsid w:val="46143B66"/>
    <w:rsid w:val="4615371C"/>
    <w:rsid w:val="46214325"/>
    <w:rsid w:val="46214E0A"/>
    <w:rsid w:val="462374EC"/>
    <w:rsid w:val="463246EC"/>
    <w:rsid w:val="463425D3"/>
    <w:rsid w:val="463A3547"/>
    <w:rsid w:val="464B28C8"/>
    <w:rsid w:val="464E0973"/>
    <w:rsid w:val="46532040"/>
    <w:rsid w:val="46555DC3"/>
    <w:rsid w:val="46617DB2"/>
    <w:rsid w:val="46621065"/>
    <w:rsid w:val="46665198"/>
    <w:rsid w:val="46697236"/>
    <w:rsid w:val="466E2952"/>
    <w:rsid w:val="46770F8B"/>
    <w:rsid w:val="467C16FA"/>
    <w:rsid w:val="467E1A58"/>
    <w:rsid w:val="46842633"/>
    <w:rsid w:val="46854094"/>
    <w:rsid w:val="46875964"/>
    <w:rsid w:val="46894B18"/>
    <w:rsid w:val="469448C6"/>
    <w:rsid w:val="46AB0067"/>
    <w:rsid w:val="46B80AF8"/>
    <w:rsid w:val="46CB06FF"/>
    <w:rsid w:val="46D269F2"/>
    <w:rsid w:val="46D37F0B"/>
    <w:rsid w:val="46D71533"/>
    <w:rsid w:val="46DB0FF6"/>
    <w:rsid w:val="46E53335"/>
    <w:rsid w:val="46E544E3"/>
    <w:rsid w:val="46E87DBA"/>
    <w:rsid w:val="46EB3F4A"/>
    <w:rsid w:val="46EE15F6"/>
    <w:rsid w:val="46EE2CC7"/>
    <w:rsid w:val="46FA7468"/>
    <w:rsid w:val="47072F2B"/>
    <w:rsid w:val="470F7B86"/>
    <w:rsid w:val="47150A32"/>
    <w:rsid w:val="47155D89"/>
    <w:rsid w:val="473069AF"/>
    <w:rsid w:val="473251BE"/>
    <w:rsid w:val="47356ECD"/>
    <w:rsid w:val="474A0EAF"/>
    <w:rsid w:val="474E50BE"/>
    <w:rsid w:val="476644AE"/>
    <w:rsid w:val="476700F2"/>
    <w:rsid w:val="47696F9C"/>
    <w:rsid w:val="47714F1F"/>
    <w:rsid w:val="47725A17"/>
    <w:rsid w:val="477D3243"/>
    <w:rsid w:val="478821A1"/>
    <w:rsid w:val="479128A9"/>
    <w:rsid w:val="479319F6"/>
    <w:rsid w:val="47975EDC"/>
    <w:rsid w:val="47983B19"/>
    <w:rsid w:val="479E2C8A"/>
    <w:rsid w:val="47A3609D"/>
    <w:rsid w:val="47C01792"/>
    <w:rsid w:val="47C57A48"/>
    <w:rsid w:val="47D511BD"/>
    <w:rsid w:val="4808150F"/>
    <w:rsid w:val="480F51A8"/>
    <w:rsid w:val="481158B0"/>
    <w:rsid w:val="481604F9"/>
    <w:rsid w:val="481A006F"/>
    <w:rsid w:val="48256B1B"/>
    <w:rsid w:val="48282713"/>
    <w:rsid w:val="484417FA"/>
    <w:rsid w:val="48450ECE"/>
    <w:rsid w:val="484759CD"/>
    <w:rsid w:val="484B14EC"/>
    <w:rsid w:val="48602710"/>
    <w:rsid w:val="48713351"/>
    <w:rsid w:val="48802846"/>
    <w:rsid w:val="488260F9"/>
    <w:rsid w:val="48850157"/>
    <w:rsid w:val="488A4F12"/>
    <w:rsid w:val="48A71C34"/>
    <w:rsid w:val="48A736CF"/>
    <w:rsid w:val="48B116EA"/>
    <w:rsid w:val="48B74C7A"/>
    <w:rsid w:val="48BE32BF"/>
    <w:rsid w:val="48C354EC"/>
    <w:rsid w:val="48D429DD"/>
    <w:rsid w:val="48D67930"/>
    <w:rsid w:val="48DF13DF"/>
    <w:rsid w:val="48E01C77"/>
    <w:rsid w:val="48E22285"/>
    <w:rsid w:val="48E50D90"/>
    <w:rsid w:val="48EB0B49"/>
    <w:rsid w:val="48EB0D16"/>
    <w:rsid w:val="48EF1D28"/>
    <w:rsid w:val="48FA15CC"/>
    <w:rsid w:val="48FD72A4"/>
    <w:rsid w:val="48FF0DD1"/>
    <w:rsid w:val="490F071A"/>
    <w:rsid w:val="491B63DF"/>
    <w:rsid w:val="491D63E9"/>
    <w:rsid w:val="4932285C"/>
    <w:rsid w:val="49331971"/>
    <w:rsid w:val="49384E02"/>
    <w:rsid w:val="493E2F78"/>
    <w:rsid w:val="493F3A9E"/>
    <w:rsid w:val="494D24FC"/>
    <w:rsid w:val="49511FB6"/>
    <w:rsid w:val="495217DF"/>
    <w:rsid w:val="4958367A"/>
    <w:rsid w:val="495F5D3B"/>
    <w:rsid w:val="4960425F"/>
    <w:rsid w:val="49620AD3"/>
    <w:rsid w:val="498A16CD"/>
    <w:rsid w:val="498A7FB5"/>
    <w:rsid w:val="499145D9"/>
    <w:rsid w:val="49A33C27"/>
    <w:rsid w:val="49A36E65"/>
    <w:rsid w:val="49A750B5"/>
    <w:rsid w:val="49B93B41"/>
    <w:rsid w:val="49BE07DA"/>
    <w:rsid w:val="49C32414"/>
    <w:rsid w:val="49C84AA0"/>
    <w:rsid w:val="49D135C5"/>
    <w:rsid w:val="49D7694D"/>
    <w:rsid w:val="49D87799"/>
    <w:rsid w:val="49F14E2E"/>
    <w:rsid w:val="4A0244D3"/>
    <w:rsid w:val="4A255046"/>
    <w:rsid w:val="4A2E1525"/>
    <w:rsid w:val="4A5A756D"/>
    <w:rsid w:val="4A722B4C"/>
    <w:rsid w:val="4A785772"/>
    <w:rsid w:val="4A842E43"/>
    <w:rsid w:val="4A886D1D"/>
    <w:rsid w:val="4A89105B"/>
    <w:rsid w:val="4AA341CC"/>
    <w:rsid w:val="4AB530F3"/>
    <w:rsid w:val="4AC13295"/>
    <w:rsid w:val="4AC31003"/>
    <w:rsid w:val="4AC40F4C"/>
    <w:rsid w:val="4AD25F33"/>
    <w:rsid w:val="4AD43476"/>
    <w:rsid w:val="4AD763B8"/>
    <w:rsid w:val="4ADD641F"/>
    <w:rsid w:val="4AE072CB"/>
    <w:rsid w:val="4AE93159"/>
    <w:rsid w:val="4AF02EA1"/>
    <w:rsid w:val="4B056A3F"/>
    <w:rsid w:val="4B174032"/>
    <w:rsid w:val="4B1D7328"/>
    <w:rsid w:val="4B250CF8"/>
    <w:rsid w:val="4B2873FD"/>
    <w:rsid w:val="4B3D4DE9"/>
    <w:rsid w:val="4B4D20E5"/>
    <w:rsid w:val="4B7C4100"/>
    <w:rsid w:val="4B830F9B"/>
    <w:rsid w:val="4B8F2DD0"/>
    <w:rsid w:val="4B9B06E8"/>
    <w:rsid w:val="4B9B0C47"/>
    <w:rsid w:val="4B9B78E2"/>
    <w:rsid w:val="4B9D4011"/>
    <w:rsid w:val="4BA34CD3"/>
    <w:rsid w:val="4BAA798D"/>
    <w:rsid w:val="4BB36BDD"/>
    <w:rsid w:val="4BB60507"/>
    <w:rsid w:val="4BC32290"/>
    <w:rsid w:val="4BC64C9C"/>
    <w:rsid w:val="4BD0339A"/>
    <w:rsid w:val="4BEF5092"/>
    <w:rsid w:val="4BF32495"/>
    <w:rsid w:val="4BFA3FA2"/>
    <w:rsid w:val="4C1905D9"/>
    <w:rsid w:val="4C2910DF"/>
    <w:rsid w:val="4C2B4DDD"/>
    <w:rsid w:val="4C336177"/>
    <w:rsid w:val="4C433ADD"/>
    <w:rsid w:val="4C447FB2"/>
    <w:rsid w:val="4C471A55"/>
    <w:rsid w:val="4C562920"/>
    <w:rsid w:val="4C5C6CDB"/>
    <w:rsid w:val="4C5D1F92"/>
    <w:rsid w:val="4C603F16"/>
    <w:rsid w:val="4C6262E0"/>
    <w:rsid w:val="4C6703A3"/>
    <w:rsid w:val="4C6D7518"/>
    <w:rsid w:val="4C6F0789"/>
    <w:rsid w:val="4C79282C"/>
    <w:rsid w:val="4C923A72"/>
    <w:rsid w:val="4C981361"/>
    <w:rsid w:val="4CB531CC"/>
    <w:rsid w:val="4CB80C32"/>
    <w:rsid w:val="4CB96B0F"/>
    <w:rsid w:val="4CBD582C"/>
    <w:rsid w:val="4CC21369"/>
    <w:rsid w:val="4CCB080E"/>
    <w:rsid w:val="4CE34E9F"/>
    <w:rsid w:val="4CF52D94"/>
    <w:rsid w:val="4CF65595"/>
    <w:rsid w:val="4D075911"/>
    <w:rsid w:val="4D0C6B0F"/>
    <w:rsid w:val="4D187B99"/>
    <w:rsid w:val="4D1D7E2A"/>
    <w:rsid w:val="4D231A3E"/>
    <w:rsid w:val="4D2822A5"/>
    <w:rsid w:val="4D4001E4"/>
    <w:rsid w:val="4D462159"/>
    <w:rsid w:val="4D47409F"/>
    <w:rsid w:val="4D525BE3"/>
    <w:rsid w:val="4D566017"/>
    <w:rsid w:val="4D6022FC"/>
    <w:rsid w:val="4D621350"/>
    <w:rsid w:val="4D7D3EFB"/>
    <w:rsid w:val="4D8B0123"/>
    <w:rsid w:val="4DAF14C5"/>
    <w:rsid w:val="4DB9067A"/>
    <w:rsid w:val="4DC605B6"/>
    <w:rsid w:val="4DD732D2"/>
    <w:rsid w:val="4DEC0985"/>
    <w:rsid w:val="4E0538A3"/>
    <w:rsid w:val="4E0E6818"/>
    <w:rsid w:val="4E177DA7"/>
    <w:rsid w:val="4E27683A"/>
    <w:rsid w:val="4E29003E"/>
    <w:rsid w:val="4E321D35"/>
    <w:rsid w:val="4E397241"/>
    <w:rsid w:val="4E3C1DE4"/>
    <w:rsid w:val="4E464E00"/>
    <w:rsid w:val="4E4C50A3"/>
    <w:rsid w:val="4E510698"/>
    <w:rsid w:val="4E576363"/>
    <w:rsid w:val="4E5D49B1"/>
    <w:rsid w:val="4E635567"/>
    <w:rsid w:val="4E640A69"/>
    <w:rsid w:val="4E667B14"/>
    <w:rsid w:val="4E674786"/>
    <w:rsid w:val="4E6D0F25"/>
    <w:rsid w:val="4E710F05"/>
    <w:rsid w:val="4E742982"/>
    <w:rsid w:val="4E7F1E8F"/>
    <w:rsid w:val="4E862481"/>
    <w:rsid w:val="4E93511F"/>
    <w:rsid w:val="4E9C0636"/>
    <w:rsid w:val="4E9D29FB"/>
    <w:rsid w:val="4EA30DB6"/>
    <w:rsid w:val="4EA7341F"/>
    <w:rsid w:val="4EB35A3D"/>
    <w:rsid w:val="4EB5319B"/>
    <w:rsid w:val="4ECD2AFD"/>
    <w:rsid w:val="4EDB58B2"/>
    <w:rsid w:val="4EE925CE"/>
    <w:rsid w:val="4EEB1A94"/>
    <w:rsid w:val="4EEF2E30"/>
    <w:rsid w:val="4EF24828"/>
    <w:rsid w:val="4EFE7F59"/>
    <w:rsid w:val="4F213063"/>
    <w:rsid w:val="4F2228F5"/>
    <w:rsid w:val="4F285975"/>
    <w:rsid w:val="4F2A7BF3"/>
    <w:rsid w:val="4F2E2624"/>
    <w:rsid w:val="4F413407"/>
    <w:rsid w:val="4F4E1077"/>
    <w:rsid w:val="4F546156"/>
    <w:rsid w:val="4F783D62"/>
    <w:rsid w:val="4F844A99"/>
    <w:rsid w:val="4F94662C"/>
    <w:rsid w:val="4FB00163"/>
    <w:rsid w:val="4FB208E7"/>
    <w:rsid w:val="4FBB673E"/>
    <w:rsid w:val="4FE30332"/>
    <w:rsid w:val="4FE70BB4"/>
    <w:rsid w:val="4FE73C01"/>
    <w:rsid w:val="4FE76D51"/>
    <w:rsid w:val="4FE87C31"/>
    <w:rsid w:val="4FEE2DDE"/>
    <w:rsid w:val="4FF03F98"/>
    <w:rsid w:val="4FF14DCF"/>
    <w:rsid w:val="5008113B"/>
    <w:rsid w:val="500815B6"/>
    <w:rsid w:val="500B39BC"/>
    <w:rsid w:val="500C204A"/>
    <w:rsid w:val="50132725"/>
    <w:rsid w:val="50136801"/>
    <w:rsid w:val="50136866"/>
    <w:rsid w:val="501502DD"/>
    <w:rsid w:val="502173F8"/>
    <w:rsid w:val="5022123F"/>
    <w:rsid w:val="502B7315"/>
    <w:rsid w:val="503443EE"/>
    <w:rsid w:val="503544CB"/>
    <w:rsid w:val="503E570B"/>
    <w:rsid w:val="503F32CF"/>
    <w:rsid w:val="503F62FD"/>
    <w:rsid w:val="5040409D"/>
    <w:rsid w:val="5041152A"/>
    <w:rsid w:val="504C77D2"/>
    <w:rsid w:val="504F6377"/>
    <w:rsid w:val="50555E9D"/>
    <w:rsid w:val="50560460"/>
    <w:rsid w:val="50574659"/>
    <w:rsid w:val="50601A5C"/>
    <w:rsid w:val="507310D9"/>
    <w:rsid w:val="507E1B25"/>
    <w:rsid w:val="508E3B94"/>
    <w:rsid w:val="508E4492"/>
    <w:rsid w:val="5090223F"/>
    <w:rsid w:val="50924591"/>
    <w:rsid w:val="50A578DE"/>
    <w:rsid w:val="50A649F5"/>
    <w:rsid w:val="50AB5EB6"/>
    <w:rsid w:val="50AE6FE2"/>
    <w:rsid w:val="50B16618"/>
    <w:rsid w:val="50BB6306"/>
    <w:rsid w:val="50BF633A"/>
    <w:rsid w:val="50CD2E4B"/>
    <w:rsid w:val="50D87153"/>
    <w:rsid w:val="50DA0A9E"/>
    <w:rsid w:val="50ED21B8"/>
    <w:rsid w:val="50F31CB9"/>
    <w:rsid w:val="50F66F3D"/>
    <w:rsid w:val="50F712AF"/>
    <w:rsid w:val="50F8688B"/>
    <w:rsid w:val="50FC4E36"/>
    <w:rsid w:val="51002FFC"/>
    <w:rsid w:val="5105169B"/>
    <w:rsid w:val="51062881"/>
    <w:rsid w:val="510861B3"/>
    <w:rsid w:val="510956BD"/>
    <w:rsid w:val="5121766A"/>
    <w:rsid w:val="51230220"/>
    <w:rsid w:val="512F5D2D"/>
    <w:rsid w:val="5131577E"/>
    <w:rsid w:val="513F6CC6"/>
    <w:rsid w:val="51471753"/>
    <w:rsid w:val="514E4912"/>
    <w:rsid w:val="515400FF"/>
    <w:rsid w:val="515441FE"/>
    <w:rsid w:val="5154647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003A5"/>
    <w:rsid w:val="51D129CA"/>
    <w:rsid w:val="51D93F8A"/>
    <w:rsid w:val="51E5046A"/>
    <w:rsid w:val="51F04514"/>
    <w:rsid w:val="51FE35D3"/>
    <w:rsid w:val="52062D29"/>
    <w:rsid w:val="520D7B42"/>
    <w:rsid w:val="52175F05"/>
    <w:rsid w:val="52272B85"/>
    <w:rsid w:val="52284E31"/>
    <w:rsid w:val="522A5519"/>
    <w:rsid w:val="523E09B5"/>
    <w:rsid w:val="52431715"/>
    <w:rsid w:val="525F02E6"/>
    <w:rsid w:val="52687B2A"/>
    <w:rsid w:val="526B2157"/>
    <w:rsid w:val="526E0E82"/>
    <w:rsid w:val="527901C6"/>
    <w:rsid w:val="528241AF"/>
    <w:rsid w:val="52831D64"/>
    <w:rsid w:val="528F4A24"/>
    <w:rsid w:val="52944BB6"/>
    <w:rsid w:val="529C012B"/>
    <w:rsid w:val="52A24532"/>
    <w:rsid w:val="52A90763"/>
    <w:rsid w:val="52AC6512"/>
    <w:rsid w:val="52B24D9E"/>
    <w:rsid w:val="52B3363A"/>
    <w:rsid w:val="52C4763C"/>
    <w:rsid w:val="52C552C3"/>
    <w:rsid w:val="52CA3EAB"/>
    <w:rsid w:val="52CE7860"/>
    <w:rsid w:val="52D102DF"/>
    <w:rsid w:val="52DE691D"/>
    <w:rsid w:val="52E04D27"/>
    <w:rsid w:val="52ED0C96"/>
    <w:rsid w:val="53061721"/>
    <w:rsid w:val="530C0E6B"/>
    <w:rsid w:val="530C41A5"/>
    <w:rsid w:val="531C3F9F"/>
    <w:rsid w:val="532F77EA"/>
    <w:rsid w:val="53367575"/>
    <w:rsid w:val="533933AA"/>
    <w:rsid w:val="533B7F54"/>
    <w:rsid w:val="533D2D66"/>
    <w:rsid w:val="535009E1"/>
    <w:rsid w:val="53650168"/>
    <w:rsid w:val="53665DA9"/>
    <w:rsid w:val="536C2A29"/>
    <w:rsid w:val="536E571F"/>
    <w:rsid w:val="53723349"/>
    <w:rsid w:val="538859E4"/>
    <w:rsid w:val="538E3092"/>
    <w:rsid w:val="539F394B"/>
    <w:rsid w:val="53A20FFA"/>
    <w:rsid w:val="53A233E4"/>
    <w:rsid w:val="53A63AE8"/>
    <w:rsid w:val="53A94C48"/>
    <w:rsid w:val="53AA7BC7"/>
    <w:rsid w:val="53AE5EA5"/>
    <w:rsid w:val="53B00B1F"/>
    <w:rsid w:val="53B2409D"/>
    <w:rsid w:val="53B31E73"/>
    <w:rsid w:val="53BF4252"/>
    <w:rsid w:val="53CC69BB"/>
    <w:rsid w:val="53D5647F"/>
    <w:rsid w:val="53D6247A"/>
    <w:rsid w:val="53DB3477"/>
    <w:rsid w:val="53DC1AD5"/>
    <w:rsid w:val="53DE00FF"/>
    <w:rsid w:val="53E656AF"/>
    <w:rsid w:val="53E77CBF"/>
    <w:rsid w:val="53FE7128"/>
    <w:rsid w:val="5404645E"/>
    <w:rsid w:val="54201800"/>
    <w:rsid w:val="54247F22"/>
    <w:rsid w:val="5427150F"/>
    <w:rsid w:val="542B1B24"/>
    <w:rsid w:val="542C29CD"/>
    <w:rsid w:val="542F1551"/>
    <w:rsid w:val="54381756"/>
    <w:rsid w:val="545750B7"/>
    <w:rsid w:val="545A1EBF"/>
    <w:rsid w:val="54602EAD"/>
    <w:rsid w:val="5460437B"/>
    <w:rsid w:val="54727478"/>
    <w:rsid w:val="549A60DB"/>
    <w:rsid w:val="54B06F11"/>
    <w:rsid w:val="54B539A5"/>
    <w:rsid w:val="54B56DF4"/>
    <w:rsid w:val="54B93943"/>
    <w:rsid w:val="54BE5578"/>
    <w:rsid w:val="54BF52B5"/>
    <w:rsid w:val="54D202CA"/>
    <w:rsid w:val="54D54E59"/>
    <w:rsid w:val="54DD41DB"/>
    <w:rsid w:val="54ED3D78"/>
    <w:rsid w:val="54F52BA3"/>
    <w:rsid w:val="54F54E04"/>
    <w:rsid w:val="54F84599"/>
    <w:rsid w:val="550B4121"/>
    <w:rsid w:val="550D5CFC"/>
    <w:rsid w:val="550F3357"/>
    <w:rsid w:val="551210D2"/>
    <w:rsid w:val="55126CC5"/>
    <w:rsid w:val="55197997"/>
    <w:rsid w:val="551B756A"/>
    <w:rsid w:val="551B7F0A"/>
    <w:rsid w:val="551C3459"/>
    <w:rsid w:val="552A6B56"/>
    <w:rsid w:val="55314F13"/>
    <w:rsid w:val="5532385A"/>
    <w:rsid w:val="55381D42"/>
    <w:rsid w:val="55401B14"/>
    <w:rsid w:val="554748F2"/>
    <w:rsid w:val="554D414C"/>
    <w:rsid w:val="554E7279"/>
    <w:rsid w:val="55594FFB"/>
    <w:rsid w:val="555C56F3"/>
    <w:rsid w:val="55637CEB"/>
    <w:rsid w:val="55677DDA"/>
    <w:rsid w:val="55757FB9"/>
    <w:rsid w:val="55870A2C"/>
    <w:rsid w:val="55884237"/>
    <w:rsid w:val="558C7FAA"/>
    <w:rsid w:val="55900510"/>
    <w:rsid w:val="55947881"/>
    <w:rsid w:val="55A25EB7"/>
    <w:rsid w:val="55A82784"/>
    <w:rsid w:val="55A97512"/>
    <w:rsid w:val="55B63FD5"/>
    <w:rsid w:val="55C35A76"/>
    <w:rsid w:val="55CA2380"/>
    <w:rsid w:val="55D31DA2"/>
    <w:rsid w:val="55D40743"/>
    <w:rsid w:val="55DD6F2A"/>
    <w:rsid w:val="55E73480"/>
    <w:rsid w:val="55E8339E"/>
    <w:rsid w:val="55EB75D7"/>
    <w:rsid w:val="55F06771"/>
    <w:rsid w:val="55FC4090"/>
    <w:rsid w:val="560C022B"/>
    <w:rsid w:val="560D5F48"/>
    <w:rsid w:val="56106284"/>
    <w:rsid w:val="561807BB"/>
    <w:rsid w:val="561C3752"/>
    <w:rsid w:val="5632642A"/>
    <w:rsid w:val="56375B61"/>
    <w:rsid w:val="564944F4"/>
    <w:rsid w:val="564E5820"/>
    <w:rsid w:val="565104C5"/>
    <w:rsid w:val="56566BAA"/>
    <w:rsid w:val="56630C00"/>
    <w:rsid w:val="56655398"/>
    <w:rsid w:val="56721038"/>
    <w:rsid w:val="567739D2"/>
    <w:rsid w:val="56775A0A"/>
    <w:rsid w:val="567E16D6"/>
    <w:rsid w:val="5686536D"/>
    <w:rsid w:val="568B1DB1"/>
    <w:rsid w:val="56907282"/>
    <w:rsid w:val="56A55214"/>
    <w:rsid w:val="56A67978"/>
    <w:rsid w:val="56AC63C5"/>
    <w:rsid w:val="56AF0870"/>
    <w:rsid w:val="56C1700B"/>
    <w:rsid w:val="56C56513"/>
    <w:rsid w:val="56CF48FB"/>
    <w:rsid w:val="56D25618"/>
    <w:rsid w:val="56D65B8E"/>
    <w:rsid w:val="56D7644B"/>
    <w:rsid w:val="56E373D5"/>
    <w:rsid w:val="56E74B63"/>
    <w:rsid w:val="56E81FA0"/>
    <w:rsid w:val="56E84A97"/>
    <w:rsid w:val="56F05010"/>
    <w:rsid w:val="56FB2A68"/>
    <w:rsid w:val="57011F3E"/>
    <w:rsid w:val="57050D7B"/>
    <w:rsid w:val="5705646B"/>
    <w:rsid w:val="57060649"/>
    <w:rsid w:val="570A5D64"/>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4947FA"/>
    <w:rsid w:val="58500F22"/>
    <w:rsid w:val="58587379"/>
    <w:rsid w:val="585D72B5"/>
    <w:rsid w:val="586D57A3"/>
    <w:rsid w:val="587917A0"/>
    <w:rsid w:val="587A4288"/>
    <w:rsid w:val="5880052B"/>
    <w:rsid w:val="588E3967"/>
    <w:rsid w:val="58A26EB9"/>
    <w:rsid w:val="58AD27D9"/>
    <w:rsid w:val="58B169A2"/>
    <w:rsid w:val="58B5077A"/>
    <w:rsid w:val="58B9636C"/>
    <w:rsid w:val="58C37133"/>
    <w:rsid w:val="58C71619"/>
    <w:rsid w:val="58C93046"/>
    <w:rsid w:val="58D36BCB"/>
    <w:rsid w:val="58D8157C"/>
    <w:rsid w:val="58E11166"/>
    <w:rsid w:val="58E6349C"/>
    <w:rsid w:val="58E9779C"/>
    <w:rsid w:val="58EF63EE"/>
    <w:rsid w:val="58F93B75"/>
    <w:rsid w:val="59012FA0"/>
    <w:rsid w:val="590317F0"/>
    <w:rsid w:val="59075000"/>
    <w:rsid w:val="590A108B"/>
    <w:rsid w:val="593559FD"/>
    <w:rsid w:val="594079B2"/>
    <w:rsid w:val="595B45EE"/>
    <w:rsid w:val="596A688E"/>
    <w:rsid w:val="598066FC"/>
    <w:rsid w:val="5987482A"/>
    <w:rsid w:val="598A58C2"/>
    <w:rsid w:val="598C6F19"/>
    <w:rsid w:val="59956623"/>
    <w:rsid w:val="599A4837"/>
    <w:rsid w:val="599C49A8"/>
    <w:rsid w:val="59A36725"/>
    <w:rsid w:val="59B21BF9"/>
    <w:rsid w:val="59BB4EA3"/>
    <w:rsid w:val="59C13271"/>
    <w:rsid w:val="59D25546"/>
    <w:rsid w:val="59D50752"/>
    <w:rsid w:val="59E9525B"/>
    <w:rsid w:val="59EC4E90"/>
    <w:rsid w:val="59F70BAF"/>
    <w:rsid w:val="59F742DC"/>
    <w:rsid w:val="5A072C6C"/>
    <w:rsid w:val="5A297D0D"/>
    <w:rsid w:val="5A3C0F08"/>
    <w:rsid w:val="5A3E5B83"/>
    <w:rsid w:val="5A50588C"/>
    <w:rsid w:val="5A5663A3"/>
    <w:rsid w:val="5A571746"/>
    <w:rsid w:val="5A594793"/>
    <w:rsid w:val="5A5B6E89"/>
    <w:rsid w:val="5A6253E3"/>
    <w:rsid w:val="5A641DE9"/>
    <w:rsid w:val="5A8E6670"/>
    <w:rsid w:val="5A912613"/>
    <w:rsid w:val="5A9245E9"/>
    <w:rsid w:val="5A953D41"/>
    <w:rsid w:val="5A9B51AA"/>
    <w:rsid w:val="5AA75D85"/>
    <w:rsid w:val="5AB24660"/>
    <w:rsid w:val="5ABC50F4"/>
    <w:rsid w:val="5ACC4940"/>
    <w:rsid w:val="5ACD3CD2"/>
    <w:rsid w:val="5AD86A6D"/>
    <w:rsid w:val="5AE8708E"/>
    <w:rsid w:val="5AEA76B5"/>
    <w:rsid w:val="5AEB3074"/>
    <w:rsid w:val="5AEC14F6"/>
    <w:rsid w:val="5AF124A4"/>
    <w:rsid w:val="5B141085"/>
    <w:rsid w:val="5B1A1C17"/>
    <w:rsid w:val="5B28192B"/>
    <w:rsid w:val="5B342BAD"/>
    <w:rsid w:val="5B392581"/>
    <w:rsid w:val="5B4007EF"/>
    <w:rsid w:val="5B4D1F7C"/>
    <w:rsid w:val="5B51561D"/>
    <w:rsid w:val="5B570E24"/>
    <w:rsid w:val="5B66707B"/>
    <w:rsid w:val="5B673066"/>
    <w:rsid w:val="5B686FA7"/>
    <w:rsid w:val="5B6A48A8"/>
    <w:rsid w:val="5B731FA9"/>
    <w:rsid w:val="5B785E83"/>
    <w:rsid w:val="5B7C1CD1"/>
    <w:rsid w:val="5B9004A9"/>
    <w:rsid w:val="5B907C6C"/>
    <w:rsid w:val="5B9251EF"/>
    <w:rsid w:val="5BA34DCD"/>
    <w:rsid w:val="5BAB5BC4"/>
    <w:rsid w:val="5BB20B74"/>
    <w:rsid w:val="5BBE7F15"/>
    <w:rsid w:val="5BC677D8"/>
    <w:rsid w:val="5BC74920"/>
    <w:rsid w:val="5BD0669E"/>
    <w:rsid w:val="5BEB0120"/>
    <w:rsid w:val="5BEC175C"/>
    <w:rsid w:val="5BEF3E44"/>
    <w:rsid w:val="5BEF69FF"/>
    <w:rsid w:val="5C053E62"/>
    <w:rsid w:val="5C064BA0"/>
    <w:rsid w:val="5C07067E"/>
    <w:rsid w:val="5C075BB6"/>
    <w:rsid w:val="5C097C4E"/>
    <w:rsid w:val="5C1A3A93"/>
    <w:rsid w:val="5C235386"/>
    <w:rsid w:val="5C2A4E9F"/>
    <w:rsid w:val="5C2A73E7"/>
    <w:rsid w:val="5C3B6CFC"/>
    <w:rsid w:val="5C4C2CF4"/>
    <w:rsid w:val="5C6B1600"/>
    <w:rsid w:val="5C6E26BF"/>
    <w:rsid w:val="5C7D70D1"/>
    <w:rsid w:val="5C8542A8"/>
    <w:rsid w:val="5CA6294E"/>
    <w:rsid w:val="5CD928AC"/>
    <w:rsid w:val="5CDB3358"/>
    <w:rsid w:val="5CED4E0C"/>
    <w:rsid w:val="5CEE1DD1"/>
    <w:rsid w:val="5CFF09AB"/>
    <w:rsid w:val="5D034EE9"/>
    <w:rsid w:val="5D0366E8"/>
    <w:rsid w:val="5D08684C"/>
    <w:rsid w:val="5D0A06B6"/>
    <w:rsid w:val="5D1307E8"/>
    <w:rsid w:val="5D212A05"/>
    <w:rsid w:val="5D28584C"/>
    <w:rsid w:val="5D2C5A55"/>
    <w:rsid w:val="5D2F4802"/>
    <w:rsid w:val="5D32239D"/>
    <w:rsid w:val="5D3444E6"/>
    <w:rsid w:val="5D3F0BDF"/>
    <w:rsid w:val="5D5B7098"/>
    <w:rsid w:val="5D611B66"/>
    <w:rsid w:val="5D634782"/>
    <w:rsid w:val="5D654194"/>
    <w:rsid w:val="5D6E1B86"/>
    <w:rsid w:val="5D722912"/>
    <w:rsid w:val="5D725A84"/>
    <w:rsid w:val="5D8A2CFF"/>
    <w:rsid w:val="5D960EE9"/>
    <w:rsid w:val="5D9A0CFA"/>
    <w:rsid w:val="5D9B296A"/>
    <w:rsid w:val="5D9C251B"/>
    <w:rsid w:val="5DA53D05"/>
    <w:rsid w:val="5DB765B6"/>
    <w:rsid w:val="5DC33F68"/>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124A1"/>
    <w:rsid w:val="5E237029"/>
    <w:rsid w:val="5E3A3BD1"/>
    <w:rsid w:val="5E46769D"/>
    <w:rsid w:val="5E4F1C2F"/>
    <w:rsid w:val="5E5203B8"/>
    <w:rsid w:val="5E53474B"/>
    <w:rsid w:val="5E5B33DC"/>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754BC2"/>
    <w:rsid w:val="5F875C0C"/>
    <w:rsid w:val="5F8A0701"/>
    <w:rsid w:val="5F8F0B9E"/>
    <w:rsid w:val="5F8F267A"/>
    <w:rsid w:val="5FAB7F08"/>
    <w:rsid w:val="5FB7185B"/>
    <w:rsid w:val="5FB94C48"/>
    <w:rsid w:val="5FDE327E"/>
    <w:rsid w:val="5FF37587"/>
    <w:rsid w:val="5FF85D1E"/>
    <w:rsid w:val="5FFE57B7"/>
    <w:rsid w:val="600450AE"/>
    <w:rsid w:val="60060CD5"/>
    <w:rsid w:val="60085AA3"/>
    <w:rsid w:val="600E362B"/>
    <w:rsid w:val="60177498"/>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02979"/>
    <w:rsid w:val="607A0897"/>
    <w:rsid w:val="607C3753"/>
    <w:rsid w:val="607F6EAB"/>
    <w:rsid w:val="608B2C8F"/>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950B7"/>
    <w:rsid w:val="61421EFD"/>
    <w:rsid w:val="614F6F7E"/>
    <w:rsid w:val="615476E5"/>
    <w:rsid w:val="615C5041"/>
    <w:rsid w:val="61640524"/>
    <w:rsid w:val="616522DF"/>
    <w:rsid w:val="616B7058"/>
    <w:rsid w:val="6176679C"/>
    <w:rsid w:val="617A6EE7"/>
    <w:rsid w:val="617B616B"/>
    <w:rsid w:val="6182260C"/>
    <w:rsid w:val="61867753"/>
    <w:rsid w:val="6190565E"/>
    <w:rsid w:val="61AA2608"/>
    <w:rsid w:val="61AD68BC"/>
    <w:rsid w:val="61AE786E"/>
    <w:rsid w:val="61B173D2"/>
    <w:rsid w:val="61BC4BE1"/>
    <w:rsid w:val="61D43A2B"/>
    <w:rsid w:val="61E34474"/>
    <w:rsid w:val="61ED6D6A"/>
    <w:rsid w:val="61FF316E"/>
    <w:rsid w:val="621253B0"/>
    <w:rsid w:val="621542CB"/>
    <w:rsid w:val="62295008"/>
    <w:rsid w:val="624263A2"/>
    <w:rsid w:val="6248243F"/>
    <w:rsid w:val="625023E7"/>
    <w:rsid w:val="625272C3"/>
    <w:rsid w:val="62715337"/>
    <w:rsid w:val="6280204D"/>
    <w:rsid w:val="6290769B"/>
    <w:rsid w:val="62943D08"/>
    <w:rsid w:val="629718F1"/>
    <w:rsid w:val="62A05735"/>
    <w:rsid w:val="62A411F8"/>
    <w:rsid w:val="62A81A26"/>
    <w:rsid w:val="62BA7A46"/>
    <w:rsid w:val="62C376AC"/>
    <w:rsid w:val="62CE13CB"/>
    <w:rsid w:val="62CF1100"/>
    <w:rsid w:val="62D2197B"/>
    <w:rsid w:val="62DB028F"/>
    <w:rsid w:val="62EE4623"/>
    <w:rsid w:val="62F6011A"/>
    <w:rsid w:val="62FD2BA9"/>
    <w:rsid w:val="62FF7997"/>
    <w:rsid w:val="631010DD"/>
    <w:rsid w:val="631420D6"/>
    <w:rsid w:val="6327422B"/>
    <w:rsid w:val="6328597C"/>
    <w:rsid w:val="63297E59"/>
    <w:rsid w:val="632C2A14"/>
    <w:rsid w:val="633B249F"/>
    <w:rsid w:val="633D1842"/>
    <w:rsid w:val="634E66C0"/>
    <w:rsid w:val="635123F0"/>
    <w:rsid w:val="63552D76"/>
    <w:rsid w:val="6359778B"/>
    <w:rsid w:val="635B63E3"/>
    <w:rsid w:val="636D7473"/>
    <w:rsid w:val="63771D13"/>
    <w:rsid w:val="63882543"/>
    <w:rsid w:val="638B726E"/>
    <w:rsid w:val="638C3395"/>
    <w:rsid w:val="6398710B"/>
    <w:rsid w:val="63A22830"/>
    <w:rsid w:val="63B37325"/>
    <w:rsid w:val="63B82D87"/>
    <w:rsid w:val="63BA3154"/>
    <w:rsid w:val="63CA2E8B"/>
    <w:rsid w:val="63D4153E"/>
    <w:rsid w:val="63DA0FA3"/>
    <w:rsid w:val="63DC7755"/>
    <w:rsid w:val="63DD2326"/>
    <w:rsid w:val="63DE4EC1"/>
    <w:rsid w:val="63E43D21"/>
    <w:rsid w:val="63F47D2A"/>
    <w:rsid w:val="63F6335E"/>
    <w:rsid w:val="63FE2D33"/>
    <w:rsid w:val="63FF116D"/>
    <w:rsid w:val="64046427"/>
    <w:rsid w:val="6407607D"/>
    <w:rsid w:val="641347AE"/>
    <w:rsid w:val="642369FC"/>
    <w:rsid w:val="64264A79"/>
    <w:rsid w:val="642A38B2"/>
    <w:rsid w:val="64304E58"/>
    <w:rsid w:val="64311867"/>
    <w:rsid w:val="64391ED3"/>
    <w:rsid w:val="6445632E"/>
    <w:rsid w:val="645C5A2D"/>
    <w:rsid w:val="64742B63"/>
    <w:rsid w:val="647E661E"/>
    <w:rsid w:val="648939AA"/>
    <w:rsid w:val="648C635C"/>
    <w:rsid w:val="649530F1"/>
    <w:rsid w:val="649B1AC2"/>
    <w:rsid w:val="64A7467B"/>
    <w:rsid w:val="64B53322"/>
    <w:rsid w:val="64BC0EAC"/>
    <w:rsid w:val="64C61AF8"/>
    <w:rsid w:val="64C86505"/>
    <w:rsid w:val="64D04974"/>
    <w:rsid w:val="64FB4412"/>
    <w:rsid w:val="64FE700F"/>
    <w:rsid w:val="6500327F"/>
    <w:rsid w:val="6506609B"/>
    <w:rsid w:val="65083216"/>
    <w:rsid w:val="650D40FD"/>
    <w:rsid w:val="653311C8"/>
    <w:rsid w:val="65460728"/>
    <w:rsid w:val="654835A8"/>
    <w:rsid w:val="654C3B73"/>
    <w:rsid w:val="657C5174"/>
    <w:rsid w:val="65822810"/>
    <w:rsid w:val="65870C45"/>
    <w:rsid w:val="659705FF"/>
    <w:rsid w:val="65AA6346"/>
    <w:rsid w:val="65B01B69"/>
    <w:rsid w:val="65B56C47"/>
    <w:rsid w:val="65B7794D"/>
    <w:rsid w:val="65B8262E"/>
    <w:rsid w:val="65BB771F"/>
    <w:rsid w:val="65BC15EE"/>
    <w:rsid w:val="65D23D59"/>
    <w:rsid w:val="65D4773F"/>
    <w:rsid w:val="65DC5939"/>
    <w:rsid w:val="65DC7985"/>
    <w:rsid w:val="65F14641"/>
    <w:rsid w:val="65F5655C"/>
    <w:rsid w:val="65F64F18"/>
    <w:rsid w:val="65F965DF"/>
    <w:rsid w:val="66052F43"/>
    <w:rsid w:val="66065483"/>
    <w:rsid w:val="6609487E"/>
    <w:rsid w:val="661D25CE"/>
    <w:rsid w:val="66206CF2"/>
    <w:rsid w:val="66247E99"/>
    <w:rsid w:val="66265846"/>
    <w:rsid w:val="66287C9C"/>
    <w:rsid w:val="662E4097"/>
    <w:rsid w:val="664805B8"/>
    <w:rsid w:val="665572E9"/>
    <w:rsid w:val="665A318B"/>
    <w:rsid w:val="665B55EA"/>
    <w:rsid w:val="66641D58"/>
    <w:rsid w:val="66655F85"/>
    <w:rsid w:val="6665654E"/>
    <w:rsid w:val="667C7AEC"/>
    <w:rsid w:val="667F71BA"/>
    <w:rsid w:val="66863A0F"/>
    <w:rsid w:val="66984358"/>
    <w:rsid w:val="669B7C76"/>
    <w:rsid w:val="66A200F8"/>
    <w:rsid w:val="66A205F5"/>
    <w:rsid w:val="66A30EC2"/>
    <w:rsid w:val="66AA4BA8"/>
    <w:rsid w:val="66AE5626"/>
    <w:rsid w:val="66C56058"/>
    <w:rsid w:val="66C955BD"/>
    <w:rsid w:val="66CF3182"/>
    <w:rsid w:val="66D97420"/>
    <w:rsid w:val="66DC317D"/>
    <w:rsid w:val="66DD5461"/>
    <w:rsid w:val="66E10E78"/>
    <w:rsid w:val="66E617C5"/>
    <w:rsid w:val="66E910C9"/>
    <w:rsid w:val="670C6D27"/>
    <w:rsid w:val="670D67CE"/>
    <w:rsid w:val="67105BAB"/>
    <w:rsid w:val="67177E0C"/>
    <w:rsid w:val="6719681C"/>
    <w:rsid w:val="671B1631"/>
    <w:rsid w:val="67302DC3"/>
    <w:rsid w:val="67316C6B"/>
    <w:rsid w:val="674318B2"/>
    <w:rsid w:val="674D4B22"/>
    <w:rsid w:val="67570422"/>
    <w:rsid w:val="675D31B4"/>
    <w:rsid w:val="676D2F4B"/>
    <w:rsid w:val="677A17F7"/>
    <w:rsid w:val="677A266A"/>
    <w:rsid w:val="677C1A81"/>
    <w:rsid w:val="677E7198"/>
    <w:rsid w:val="678A426A"/>
    <w:rsid w:val="67914BE1"/>
    <w:rsid w:val="67A01F16"/>
    <w:rsid w:val="67A2026E"/>
    <w:rsid w:val="67B163D1"/>
    <w:rsid w:val="67DB7126"/>
    <w:rsid w:val="67DE0B68"/>
    <w:rsid w:val="67F45538"/>
    <w:rsid w:val="67F67092"/>
    <w:rsid w:val="68005932"/>
    <w:rsid w:val="680239EB"/>
    <w:rsid w:val="680722DA"/>
    <w:rsid w:val="68075891"/>
    <w:rsid w:val="68096B99"/>
    <w:rsid w:val="681A3573"/>
    <w:rsid w:val="681C6C95"/>
    <w:rsid w:val="682211D1"/>
    <w:rsid w:val="6842274F"/>
    <w:rsid w:val="685C6395"/>
    <w:rsid w:val="685D1704"/>
    <w:rsid w:val="686318DD"/>
    <w:rsid w:val="68635145"/>
    <w:rsid w:val="68641D36"/>
    <w:rsid w:val="68642665"/>
    <w:rsid w:val="687914A4"/>
    <w:rsid w:val="687F607E"/>
    <w:rsid w:val="6887281F"/>
    <w:rsid w:val="689565AD"/>
    <w:rsid w:val="689A41FB"/>
    <w:rsid w:val="689E57F0"/>
    <w:rsid w:val="68A34C5C"/>
    <w:rsid w:val="68CA6EAF"/>
    <w:rsid w:val="68D507C6"/>
    <w:rsid w:val="68E24981"/>
    <w:rsid w:val="68E35159"/>
    <w:rsid w:val="68E62C62"/>
    <w:rsid w:val="68ED60A5"/>
    <w:rsid w:val="68FC54E3"/>
    <w:rsid w:val="68FF75E0"/>
    <w:rsid w:val="690518E7"/>
    <w:rsid w:val="69123F86"/>
    <w:rsid w:val="691C1D81"/>
    <w:rsid w:val="691C3525"/>
    <w:rsid w:val="69216128"/>
    <w:rsid w:val="69280874"/>
    <w:rsid w:val="692E74C3"/>
    <w:rsid w:val="69307671"/>
    <w:rsid w:val="693A4263"/>
    <w:rsid w:val="69493FE8"/>
    <w:rsid w:val="695D6B21"/>
    <w:rsid w:val="69611EE7"/>
    <w:rsid w:val="69621F5B"/>
    <w:rsid w:val="696C708E"/>
    <w:rsid w:val="696F4D5D"/>
    <w:rsid w:val="69850877"/>
    <w:rsid w:val="698C13C5"/>
    <w:rsid w:val="69BE5AE8"/>
    <w:rsid w:val="69C918A5"/>
    <w:rsid w:val="69CF57FD"/>
    <w:rsid w:val="69D20957"/>
    <w:rsid w:val="69EB1E1E"/>
    <w:rsid w:val="69F0745A"/>
    <w:rsid w:val="69F679D6"/>
    <w:rsid w:val="6A082D44"/>
    <w:rsid w:val="6A0D20F2"/>
    <w:rsid w:val="6A170906"/>
    <w:rsid w:val="6A1757B7"/>
    <w:rsid w:val="6A1D59EC"/>
    <w:rsid w:val="6A247F72"/>
    <w:rsid w:val="6A274610"/>
    <w:rsid w:val="6A295698"/>
    <w:rsid w:val="6A3E2393"/>
    <w:rsid w:val="6A435B92"/>
    <w:rsid w:val="6A444DB8"/>
    <w:rsid w:val="6A4D4828"/>
    <w:rsid w:val="6A516AC3"/>
    <w:rsid w:val="6A5303BA"/>
    <w:rsid w:val="6A5B28ED"/>
    <w:rsid w:val="6A677080"/>
    <w:rsid w:val="6A711183"/>
    <w:rsid w:val="6A7B4B9C"/>
    <w:rsid w:val="6A890614"/>
    <w:rsid w:val="6A8B36E4"/>
    <w:rsid w:val="6AAF014C"/>
    <w:rsid w:val="6AC07690"/>
    <w:rsid w:val="6ACB082B"/>
    <w:rsid w:val="6AD3247E"/>
    <w:rsid w:val="6ADA69A5"/>
    <w:rsid w:val="6ADA78C4"/>
    <w:rsid w:val="6AE4699C"/>
    <w:rsid w:val="6AE679A4"/>
    <w:rsid w:val="6AED1BE8"/>
    <w:rsid w:val="6AF00853"/>
    <w:rsid w:val="6AF317C6"/>
    <w:rsid w:val="6B004C6B"/>
    <w:rsid w:val="6B09696B"/>
    <w:rsid w:val="6B0B7D5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16BE5"/>
    <w:rsid w:val="6BA6663C"/>
    <w:rsid w:val="6BA82050"/>
    <w:rsid w:val="6BA9194F"/>
    <w:rsid w:val="6BC76EBF"/>
    <w:rsid w:val="6BCA7437"/>
    <w:rsid w:val="6BD806C1"/>
    <w:rsid w:val="6BE727F5"/>
    <w:rsid w:val="6C001608"/>
    <w:rsid w:val="6C03749E"/>
    <w:rsid w:val="6C0858B3"/>
    <w:rsid w:val="6C132D21"/>
    <w:rsid w:val="6C240DF3"/>
    <w:rsid w:val="6C45610F"/>
    <w:rsid w:val="6C59472D"/>
    <w:rsid w:val="6C5A4564"/>
    <w:rsid w:val="6C603744"/>
    <w:rsid w:val="6C637CCF"/>
    <w:rsid w:val="6C7802EB"/>
    <w:rsid w:val="6C873293"/>
    <w:rsid w:val="6C89456C"/>
    <w:rsid w:val="6C9143CB"/>
    <w:rsid w:val="6CA20D5B"/>
    <w:rsid w:val="6CA622A1"/>
    <w:rsid w:val="6CAF7564"/>
    <w:rsid w:val="6CB71894"/>
    <w:rsid w:val="6CB91201"/>
    <w:rsid w:val="6CC13ACE"/>
    <w:rsid w:val="6CD63FB3"/>
    <w:rsid w:val="6CD73CDB"/>
    <w:rsid w:val="6CD91323"/>
    <w:rsid w:val="6CE63215"/>
    <w:rsid w:val="6CE93D5A"/>
    <w:rsid w:val="6CFE035F"/>
    <w:rsid w:val="6D056EA6"/>
    <w:rsid w:val="6D1766A9"/>
    <w:rsid w:val="6D1E112C"/>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AE69A3"/>
    <w:rsid w:val="6DBE7F27"/>
    <w:rsid w:val="6DC262E7"/>
    <w:rsid w:val="6DD70DD8"/>
    <w:rsid w:val="6DF43BD4"/>
    <w:rsid w:val="6E0E1FAB"/>
    <w:rsid w:val="6E2143FB"/>
    <w:rsid w:val="6E317378"/>
    <w:rsid w:val="6E3C1260"/>
    <w:rsid w:val="6E3E5591"/>
    <w:rsid w:val="6E4215C6"/>
    <w:rsid w:val="6E4B0158"/>
    <w:rsid w:val="6E4D611F"/>
    <w:rsid w:val="6E555D19"/>
    <w:rsid w:val="6E567C9E"/>
    <w:rsid w:val="6E5D584B"/>
    <w:rsid w:val="6E635028"/>
    <w:rsid w:val="6E636A71"/>
    <w:rsid w:val="6E685B0A"/>
    <w:rsid w:val="6E73404A"/>
    <w:rsid w:val="6E7355AA"/>
    <w:rsid w:val="6E7D300B"/>
    <w:rsid w:val="6E7D343C"/>
    <w:rsid w:val="6E823708"/>
    <w:rsid w:val="6E920B5B"/>
    <w:rsid w:val="6E990B16"/>
    <w:rsid w:val="6E995AB6"/>
    <w:rsid w:val="6EB169D3"/>
    <w:rsid w:val="6EB21539"/>
    <w:rsid w:val="6EB829B1"/>
    <w:rsid w:val="6EB978A9"/>
    <w:rsid w:val="6EBF0F03"/>
    <w:rsid w:val="6EC52813"/>
    <w:rsid w:val="6ECC3A24"/>
    <w:rsid w:val="6ED86D3E"/>
    <w:rsid w:val="6EE9744F"/>
    <w:rsid w:val="6EEC3F7C"/>
    <w:rsid w:val="6EF3602C"/>
    <w:rsid w:val="6EFE1485"/>
    <w:rsid w:val="6F0247B3"/>
    <w:rsid w:val="6F031F8E"/>
    <w:rsid w:val="6F0D382C"/>
    <w:rsid w:val="6F2632E8"/>
    <w:rsid w:val="6F30363A"/>
    <w:rsid w:val="6F3316E5"/>
    <w:rsid w:val="6F3F40F9"/>
    <w:rsid w:val="6F40758E"/>
    <w:rsid w:val="6F45289E"/>
    <w:rsid w:val="6F5170BE"/>
    <w:rsid w:val="6F5E0205"/>
    <w:rsid w:val="6F632569"/>
    <w:rsid w:val="6F67539C"/>
    <w:rsid w:val="6F6F14E1"/>
    <w:rsid w:val="6F757C41"/>
    <w:rsid w:val="6F76254B"/>
    <w:rsid w:val="6F8040F4"/>
    <w:rsid w:val="6F877B03"/>
    <w:rsid w:val="6F9A3007"/>
    <w:rsid w:val="6FA629D4"/>
    <w:rsid w:val="6FA75ADB"/>
    <w:rsid w:val="6FB77ED4"/>
    <w:rsid w:val="6FBD4D2F"/>
    <w:rsid w:val="6FBF4710"/>
    <w:rsid w:val="6FC9109F"/>
    <w:rsid w:val="6FDB518F"/>
    <w:rsid w:val="6FE529ED"/>
    <w:rsid w:val="6FE97268"/>
    <w:rsid w:val="6FF733A7"/>
    <w:rsid w:val="70003DD9"/>
    <w:rsid w:val="70072915"/>
    <w:rsid w:val="70172090"/>
    <w:rsid w:val="70195E88"/>
    <w:rsid w:val="701D43BA"/>
    <w:rsid w:val="702B6F43"/>
    <w:rsid w:val="7032079E"/>
    <w:rsid w:val="703C186A"/>
    <w:rsid w:val="704C34F0"/>
    <w:rsid w:val="70570007"/>
    <w:rsid w:val="705843B4"/>
    <w:rsid w:val="70655A58"/>
    <w:rsid w:val="706A37E5"/>
    <w:rsid w:val="70754986"/>
    <w:rsid w:val="70822BAD"/>
    <w:rsid w:val="708746BC"/>
    <w:rsid w:val="708F7F54"/>
    <w:rsid w:val="709E3D85"/>
    <w:rsid w:val="70A36A35"/>
    <w:rsid w:val="70A708B1"/>
    <w:rsid w:val="70A97192"/>
    <w:rsid w:val="70AC660B"/>
    <w:rsid w:val="70B02AD4"/>
    <w:rsid w:val="70B17138"/>
    <w:rsid w:val="70BB2EF0"/>
    <w:rsid w:val="70BC2801"/>
    <w:rsid w:val="70C6646C"/>
    <w:rsid w:val="70D56236"/>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BE52EF"/>
    <w:rsid w:val="71C7540C"/>
    <w:rsid w:val="71CD57C4"/>
    <w:rsid w:val="71D66F51"/>
    <w:rsid w:val="71D773DC"/>
    <w:rsid w:val="71F64A63"/>
    <w:rsid w:val="71F870B8"/>
    <w:rsid w:val="72021233"/>
    <w:rsid w:val="720B2A1D"/>
    <w:rsid w:val="72194431"/>
    <w:rsid w:val="72197AB8"/>
    <w:rsid w:val="72502F9F"/>
    <w:rsid w:val="72514D94"/>
    <w:rsid w:val="7251515C"/>
    <w:rsid w:val="725817D3"/>
    <w:rsid w:val="726E6AD4"/>
    <w:rsid w:val="7275156C"/>
    <w:rsid w:val="727C422C"/>
    <w:rsid w:val="7288329F"/>
    <w:rsid w:val="728C297A"/>
    <w:rsid w:val="728E71EE"/>
    <w:rsid w:val="7292045A"/>
    <w:rsid w:val="72974DBE"/>
    <w:rsid w:val="72981C37"/>
    <w:rsid w:val="72983FF8"/>
    <w:rsid w:val="72985E1E"/>
    <w:rsid w:val="72A20C20"/>
    <w:rsid w:val="72AC5E95"/>
    <w:rsid w:val="72B76954"/>
    <w:rsid w:val="72C13ED7"/>
    <w:rsid w:val="72CF1AC7"/>
    <w:rsid w:val="72DC074D"/>
    <w:rsid w:val="72DC0F93"/>
    <w:rsid w:val="72E42AFA"/>
    <w:rsid w:val="72E85578"/>
    <w:rsid w:val="72EB4466"/>
    <w:rsid w:val="72FD426E"/>
    <w:rsid w:val="73043CFC"/>
    <w:rsid w:val="7317244F"/>
    <w:rsid w:val="732B736C"/>
    <w:rsid w:val="732C334F"/>
    <w:rsid w:val="733F3B6A"/>
    <w:rsid w:val="734F0C79"/>
    <w:rsid w:val="734F4185"/>
    <w:rsid w:val="73520620"/>
    <w:rsid w:val="73536078"/>
    <w:rsid w:val="73571DD1"/>
    <w:rsid w:val="7363274A"/>
    <w:rsid w:val="73691A4A"/>
    <w:rsid w:val="7371152B"/>
    <w:rsid w:val="73777B4D"/>
    <w:rsid w:val="738A6895"/>
    <w:rsid w:val="738B477C"/>
    <w:rsid w:val="73917325"/>
    <w:rsid w:val="7395427D"/>
    <w:rsid w:val="73A77CE4"/>
    <w:rsid w:val="73AE5485"/>
    <w:rsid w:val="73B1087F"/>
    <w:rsid w:val="73BC7089"/>
    <w:rsid w:val="73BE7067"/>
    <w:rsid w:val="73C172C1"/>
    <w:rsid w:val="73C50B73"/>
    <w:rsid w:val="73E406FD"/>
    <w:rsid w:val="73E52294"/>
    <w:rsid w:val="73EC5464"/>
    <w:rsid w:val="73FF2D64"/>
    <w:rsid w:val="74137154"/>
    <w:rsid w:val="741819AA"/>
    <w:rsid w:val="7421310D"/>
    <w:rsid w:val="742524E2"/>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13C50"/>
    <w:rsid w:val="74993216"/>
    <w:rsid w:val="74B44784"/>
    <w:rsid w:val="74B808BF"/>
    <w:rsid w:val="74C03187"/>
    <w:rsid w:val="74CE1291"/>
    <w:rsid w:val="74E427B4"/>
    <w:rsid w:val="74E4756E"/>
    <w:rsid w:val="74ED19FF"/>
    <w:rsid w:val="75084E8F"/>
    <w:rsid w:val="7509261E"/>
    <w:rsid w:val="75202656"/>
    <w:rsid w:val="752231CE"/>
    <w:rsid w:val="75352C99"/>
    <w:rsid w:val="754723D0"/>
    <w:rsid w:val="75477CFA"/>
    <w:rsid w:val="756F29D2"/>
    <w:rsid w:val="7570709D"/>
    <w:rsid w:val="75752B04"/>
    <w:rsid w:val="757A08FE"/>
    <w:rsid w:val="758910BB"/>
    <w:rsid w:val="75920C70"/>
    <w:rsid w:val="75955DA9"/>
    <w:rsid w:val="759601E2"/>
    <w:rsid w:val="75977910"/>
    <w:rsid w:val="759F2A35"/>
    <w:rsid w:val="75A40D35"/>
    <w:rsid w:val="75B15C41"/>
    <w:rsid w:val="75CC5191"/>
    <w:rsid w:val="75CC694A"/>
    <w:rsid w:val="75D12923"/>
    <w:rsid w:val="75D73FA7"/>
    <w:rsid w:val="75EA364B"/>
    <w:rsid w:val="75F20996"/>
    <w:rsid w:val="75F65644"/>
    <w:rsid w:val="75F96973"/>
    <w:rsid w:val="76030571"/>
    <w:rsid w:val="760A4340"/>
    <w:rsid w:val="76123E1D"/>
    <w:rsid w:val="761270F3"/>
    <w:rsid w:val="761F0951"/>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946F1"/>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0D0CB2"/>
    <w:rsid w:val="770E3B30"/>
    <w:rsid w:val="771A04D1"/>
    <w:rsid w:val="771B67DF"/>
    <w:rsid w:val="771E64D7"/>
    <w:rsid w:val="77272CAB"/>
    <w:rsid w:val="7738222F"/>
    <w:rsid w:val="77451578"/>
    <w:rsid w:val="77576666"/>
    <w:rsid w:val="77636E18"/>
    <w:rsid w:val="77692EA3"/>
    <w:rsid w:val="77695538"/>
    <w:rsid w:val="7773758E"/>
    <w:rsid w:val="777672AD"/>
    <w:rsid w:val="77825248"/>
    <w:rsid w:val="7785098B"/>
    <w:rsid w:val="77870D91"/>
    <w:rsid w:val="778A3229"/>
    <w:rsid w:val="779258CC"/>
    <w:rsid w:val="7794068F"/>
    <w:rsid w:val="779A096B"/>
    <w:rsid w:val="779B52FF"/>
    <w:rsid w:val="779C011D"/>
    <w:rsid w:val="77A00E75"/>
    <w:rsid w:val="77A80D17"/>
    <w:rsid w:val="77AA0270"/>
    <w:rsid w:val="77B841F3"/>
    <w:rsid w:val="77C078B1"/>
    <w:rsid w:val="77C21E1B"/>
    <w:rsid w:val="77CE7C36"/>
    <w:rsid w:val="77CF78EC"/>
    <w:rsid w:val="77E66E3C"/>
    <w:rsid w:val="77E84D6F"/>
    <w:rsid w:val="77F3789A"/>
    <w:rsid w:val="77F6611B"/>
    <w:rsid w:val="77F71324"/>
    <w:rsid w:val="780326B9"/>
    <w:rsid w:val="780332E5"/>
    <w:rsid w:val="7804698A"/>
    <w:rsid w:val="78084109"/>
    <w:rsid w:val="78085C40"/>
    <w:rsid w:val="780C4E31"/>
    <w:rsid w:val="7833711D"/>
    <w:rsid w:val="7834483F"/>
    <w:rsid w:val="78392B41"/>
    <w:rsid w:val="78460D63"/>
    <w:rsid w:val="78481B4A"/>
    <w:rsid w:val="78497C2E"/>
    <w:rsid w:val="78502D35"/>
    <w:rsid w:val="7854087B"/>
    <w:rsid w:val="785A5D97"/>
    <w:rsid w:val="786A4053"/>
    <w:rsid w:val="78717849"/>
    <w:rsid w:val="787724B9"/>
    <w:rsid w:val="78782A0D"/>
    <w:rsid w:val="78785A2F"/>
    <w:rsid w:val="787B5060"/>
    <w:rsid w:val="788720E7"/>
    <w:rsid w:val="788C639F"/>
    <w:rsid w:val="78A90B04"/>
    <w:rsid w:val="78AD7023"/>
    <w:rsid w:val="78C53485"/>
    <w:rsid w:val="78C6693F"/>
    <w:rsid w:val="78C76A01"/>
    <w:rsid w:val="78C9386A"/>
    <w:rsid w:val="78DA30DC"/>
    <w:rsid w:val="78EC45D8"/>
    <w:rsid w:val="78EC6DF0"/>
    <w:rsid w:val="78F5335B"/>
    <w:rsid w:val="78F554EB"/>
    <w:rsid w:val="791843E7"/>
    <w:rsid w:val="79233426"/>
    <w:rsid w:val="79260F03"/>
    <w:rsid w:val="792E73F2"/>
    <w:rsid w:val="79395A92"/>
    <w:rsid w:val="794008FB"/>
    <w:rsid w:val="79412D41"/>
    <w:rsid w:val="794708D9"/>
    <w:rsid w:val="794B21A1"/>
    <w:rsid w:val="7964574A"/>
    <w:rsid w:val="797F674B"/>
    <w:rsid w:val="79804706"/>
    <w:rsid w:val="79835FC2"/>
    <w:rsid w:val="79840597"/>
    <w:rsid w:val="79941CF2"/>
    <w:rsid w:val="79973382"/>
    <w:rsid w:val="79A932C9"/>
    <w:rsid w:val="79B4353E"/>
    <w:rsid w:val="79C07B43"/>
    <w:rsid w:val="79D33056"/>
    <w:rsid w:val="79D715DF"/>
    <w:rsid w:val="79DC5CA6"/>
    <w:rsid w:val="79E16F93"/>
    <w:rsid w:val="79E701E5"/>
    <w:rsid w:val="79EC0256"/>
    <w:rsid w:val="79F60153"/>
    <w:rsid w:val="79FB6E2C"/>
    <w:rsid w:val="7A256FD5"/>
    <w:rsid w:val="7A36322F"/>
    <w:rsid w:val="7A431242"/>
    <w:rsid w:val="7A444657"/>
    <w:rsid w:val="7A4C2D60"/>
    <w:rsid w:val="7A5E0869"/>
    <w:rsid w:val="7A6A74B5"/>
    <w:rsid w:val="7A6C67F4"/>
    <w:rsid w:val="7A6E4BF5"/>
    <w:rsid w:val="7A7F4A1E"/>
    <w:rsid w:val="7A851D5D"/>
    <w:rsid w:val="7A8A2267"/>
    <w:rsid w:val="7AB53126"/>
    <w:rsid w:val="7AB76FE8"/>
    <w:rsid w:val="7AB8122B"/>
    <w:rsid w:val="7ACC526F"/>
    <w:rsid w:val="7AD268E2"/>
    <w:rsid w:val="7ADC0B33"/>
    <w:rsid w:val="7AE14C19"/>
    <w:rsid w:val="7AEA174E"/>
    <w:rsid w:val="7B110246"/>
    <w:rsid w:val="7B1E18F8"/>
    <w:rsid w:val="7B274176"/>
    <w:rsid w:val="7B3057E4"/>
    <w:rsid w:val="7B306163"/>
    <w:rsid w:val="7B364C38"/>
    <w:rsid w:val="7B393D17"/>
    <w:rsid w:val="7B3A65AF"/>
    <w:rsid w:val="7B3E17AA"/>
    <w:rsid w:val="7B401C79"/>
    <w:rsid w:val="7B4175C8"/>
    <w:rsid w:val="7B440ED6"/>
    <w:rsid w:val="7B4678D7"/>
    <w:rsid w:val="7B4B2A93"/>
    <w:rsid w:val="7B516F3E"/>
    <w:rsid w:val="7B527515"/>
    <w:rsid w:val="7B78553B"/>
    <w:rsid w:val="7B890A24"/>
    <w:rsid w:val="7B8A4A8A"/>
    <w:rsid w:val="7BAA485C"/>
    <w:rsid w:val="7BAD1591"/>
    <w:rsid w:val="7BCD64C2"/>
    <w:rsid w:val="7BD3716B"/>
    <w:rsid w:val="7BDF2D2B"/>
    <w:rsid w:val="7BE1181C"/>
    <w:rsid w:val="7BEC2711"/>
    <w:rsid w:val="7BF55850"/>
    <w:rsid w:val="7C084E98"/>
    <w:rsid w:val="7C1054B7"/>
    <w:rsid w:val="7C131E53"/>
    <w:rsid w:val="7C261982"/>
    <w:rsid w:val="7C26369C"/>
    <w:rsid w:val="7C292845"/>
    <w:rsid w:val="7C2A465C"/>
    <w:rsid w:val="7C2E06D8"/>
    <w:rsid w:val="7C305879"/>
    <w:rsid w:val="7C34521A"/>
    <w:rsid w:val="7C3623E2"/>
    <w:rsid w:val="7C45067D"/>
    <w:rsid w:val="7C4A2BD1"/>
    <w:rsid w:val="7C4C0053"/>
    <w:rsid w:val="7C576C70"/>
    <w:rsid w:val="7C613982"/>
    <w:rsid w:val="7C6E4349"/>
    <w:rsid w:val="7C77043F"/>
    <w:rsid w:val="7C8A7CDC"/>
    <w:rsid w:val="7C972F3D"/>
    <w:rsid w:val="7C974C68"/>
    <w:rsid w:val="7C9E5A24"/>
    <w:rsid w:val="7CA3515D"/>
    <w:rsid w:val="7CA745A1"/>
    <w:rsid w:val="7CAC0540"/>
    <w:rsid w:val="7CAF4DCB"/>
    <w:rsid w:val="7CB4006B"/>
    <w:rsid w:val="7CB93ABB"/>
    <w:rsid w:val="7CC475DB"/>
    <w:rsid w:val="7CCF7C5B"/>
    <w:rsid w:val="7CD9736C"/>
    <w:rsid w:val="7CDE3831"/>
    <w:rsid w:val="7CE620F0"/>
    <w:rsid w:val="7CE656F0"/>
    <w:rsid w:val="7CED34FF"/>
    <w:rsid w:val="7CEE5458"/>
    <w:rsid w:val="7CF26588"/>
    <w:rsid w:val="7CF565D7"/>
    <w:rsid w:val="7CF67DDB"/>
    <w:rsid w:val="7CFA3A46"/>
    <w:rsid w:val="7D0F5720"/>
    <w:rsid w:val="7D24652E"/>
    <w:rsid w:val="7D2561FD"/>
    <w:rsid w:val="7D2E198F"/>
    <w:rsid w:val="7D3B3737"/>
    <w:rsid w:val="7D3D73AF"/>
    <w:rsid w:val="7D3F6E5D"/>
    <w:rsid w:val="7D4E5B7E"/>
    <w:rsid w:val="7D514310"/>
    <w:rsid w:val="7D5B27C9"/>
    <w:rsid w:val="7D62117D"/>
    <w:rsid w:val="7D6B7F02"/>
    <w:rsid w:val="7D834A16"/>
    <w:rsid w:val="7D880102"/>
    <w:rsid w:val="7D925D26"/>
    <w:rsid w:val="7D9D0A97"/>
    <w:rsid w:val="7D9D438F"/>
    <w:rsid w:val="7D9F1099"/>
    <w:rsid w:val="7DA514D2"/>
    <w:rsid w:val="7DAE6BE3"/>
    <w:rsid w:val="7DCD1A27"/>
    <w:rsid w:val="7DCD4EB5"/>
    <w:rsid w:val="7DDF20BC"/>
    <w:rsid w:val="7E04163D"/>
    <w:rsid w:val="7E090313"/>
    <w:rsid w:val="7E366CAB"/>
    <w:rsid w:val="7E3E0FEC"/>
    <w:rsid w:val="7E3E1EF2"/>
    <w:rsid w:val="7E566EA2"/>
    <w:rsid w:val="7E5678AC"/>
    <w:rsid w:val="7E5B15D2"/>
    <w:rsid w:val="7E5B76B4"/>
    <w:rsid w:val="7E5C1ABA"/>
    <w:rsid w:val="7E61281D"/>
    <w:rsid w:val="7E622778"/>
    <w:rsid w:val="7E756346"/>
    <w:rsid w:val="7E85174A"/>
    <w:rsid w:val="7E8B68B9"/>
    <w:rsid w:val="7E9205F1"/>
    <w:rsid w:val="7EA77314"/>
    <w:rsid w:val="7EAA7C26"/>
    <w:rsid w:val="7EAF1FAA"/>
    <w:rsid w:val="7EB4653A"/>
    <w:rsid w:val="7EC478B9"/>
    <w:rsid w:val="7ECA4601"/>
    <w:rsid w:val="7EDC22AD"/>
    <w:rsid w:val="7EDE4C34"/>
    <w:rsid w:val="7EDF1D2F"/>
    <w:rsid w:val="7EE34086"/>
    <w:rsid w:val="7EE55F89"/>
    <w:rsid w:val="7EEB5719"/>
    <w:rsid w:val="7EF215E8"/>
    <w:rsid w:val="7EF525E1"/>
    <w:rsid w:val="7EF63431"/>
    <w:rsid w:val="7EF74FC9"/>
    <w:rsid w:val="7F000B6A"/>
    <w:rsid w:val="7F022EBD"/>
    <w:rsid w:val="7F0B5962"/>
    <w:rsid w:val="7F0C2035"/>
    <w:rsid w:val="7F0F0FAF"/>
    <w:rsid w:val="7F0F7992"/>
    <w:rsid w:val="7F1B0865"/>
    <w:rsid w:val="7F271AA3"/>
    <w:rsid w:val="7F354370"/>
    <w:rsid w:val="7F542B37"/>
    <w:rsid w:val="7F6A77AB"/>
    <w:rsid w:val="7F6B2248"/>
    <w:rsid w:val="7F6F24AA"/>
    <w:rsid w:val="7F7D7A8E"/>
    <w:rsid w:val="7F872588"/>
    <w:rsid w:val="7F8725BA"/>
    <w:rsid w:val="7F8C6A8F"/>
    <w:rsid w:val="7F92351B"/>
    <w:rsid w:val="7F994DB5"/>
    <w:rsid w:val="7F9C175D"/>
    <w:rsid w:val="7F9F773D"/>
    <w:rsid w:val="7FA85877"/>
    <w:rsid w:val="7FAB3A81"/>
    <w:rsid w:val="7FC328B7"/>
    <w:rsid w:val="7FC71AD9"/>
    <w:rsid w:val="7FCB6843"/>
    <w:rsid w:val="7FCC589D"/>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40"/>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4"/>
    <w:link w:val="13"/>
    <w:semiHidden/>
    <w:qFormat/>
    <w:uiPriority w:val="99"/>
    <w:rPr>
      <w:kern w:val="2"/>
      <w:sz w:val="18"/>
      <w:szCs w:val="18"/>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paragraph" w:customStyle="1" w:styleId="76">
    <w:name w:val="TAR"/>
    <w:basedOn w:val="58"/>
    <w:qFormat/>
    <w:uiPriority w:val="0"/>
    <w:pPr>
      <w:jc w:val="right"/>
    </w:pPr>
  </w:style>
  <w:style w:type="character" w:customStyle="1" w:styleId="77">
    <w:name w:val="via3"/>
    <w:basedOn w:val="24"/>
    <w:qFormat/>
    <w:uiPriority w:val="0"/>
    <w:rPr>
      <w:color w:val="959595"/>
    </w:rPr>
  </w:style>
  <w:style w:type="character" w:customStyle="1" w:styleId="78">
    <w:name w:val="def3"/>
    <w:basedOn w:val="24"/>
    <w:qFormat/>
    <w:uiPriority w:val="0"/>
    <w:rPr>
      <w:color w:val="313131"/>
    </w:rPr>
  </w:style>
  <w:style w:type="character" w:customStyle="1" w:styleId="79">
    <w:name w:val="via1"/>
    <w:basedOn w:val="24"/>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13</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2023-08-11T09:41:59Z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